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XSpec="center" w:tblpY="-5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4678"/>
      </w:tblGrid>
      <w:tr w:rsidR="00CD0DE7" w:rsidRPr="00267807" w14:paraId="1C3CF398" w14:textId="77777777" w:rsidTr="00030BF9">
        <w:trPr>
          <w:trHeight w:val="303"/>
        </w:trPr>
        <w:tc>
          <w:tcPr>
            <w:tcW w:w="3119" w:type="dxa"/>
            <w:shd w:val="clear" w:color="auto" w:fill="D9D9D9"/>
          </w:tcPr>
          <w:p w14:paraId="269E05B5" w14:textId="77777777" w:rsidR="00CD0DE7" w:rsidRPr="00267807" w:rsidRDefault="00CD0DE7" w:rsidP="00030BF9">
            <w:pPr>
              <w:spacing w:after="0" w:line="240" w:lineRule="auto"/>
              <w:rPr>
                <w:b/>
                <w:iCs/>
                <w:sz w:val="24"/>
                <w:szCs w:val="24"/>
              </w:rPr>
            </w:pPr>
            <w:r w:rsidRPr="00267807">
              <w:rPr>
                <w:b/>
                <w:iCs/>
                <w:sz w:val="24"/>
                <w:szCs w:val="24"/>
              </w:rPr>
              <w:t xml:space="preserve">Policy </w:t>
            </w:r>
            <w:proofErr w:type="gramStart"/>
            <w:r w:rsidRPr="00267807">
              <w:rPr>
                <w:b/>
                <w:iCs/>
                <w:sz w:val="24"/>
                <w:szCs w:val="24"/>
              </w:rPr>
              <w:t>Name</w:t>
            </w:r>
            <w:r>
              <w:rPr>
                <w:b/>
                <w:iCs/>
                <w:sz w:val="24"/>
                <w:szCs w:val="24"/>
              </w:rPr>
              <w:t xml:space="preserve"> </w:t>
            </w:r>
            <w:r w:rsidRPr="00267807">
              <w:rPr>
                <w:b/>
                <w:iCs/>
                <w:sz w:val="24"/>
                <w:szCs w:val="24"/>
              </w:rPr>
              <w:t>:</w:t>
            </w:r>
            <w:proofErr w:type="gramEnd"/>
          </w:p>
        </w:tc>
        <w:tc>
          <w:tcPr>
            <w:tcW w:w="4678" w:type="dxa"/>
            <w:shd w:val="clear" w:color="auto" w:fill="D9D9D9"/>
          </w:tcPr>
          <w:p w14:paraId="174DBC49" w14:textId="0ABEE1B9" w:rsidR="00CD0DE7" w:rsidRPr="00267807" w:rsidRDefault="00CE232B" w:rsidP="00030BF9">
            <w:pPr>
              <w:spacing w:after="0" w:line="240" w:lineRule="auto"/>
              <w:rPr>
                <w:b/>
                <w:iCs/>
                <w:sz w:val="24"/>
                <w:szCs w:val="24"/>
              </w:rPr>
            </w:pPr>
            <w:r>
              <w:rPr>
                <w:b/>
                <w:iCs/>
                <w:sz w:val="24"/>
                <w:szCs w:val="24"/>
              </w:rPr>
              <w:t xml:space="preserve">Data </w:t>
            </w:r>
            <w:proofErr w:type="gramStart"/>
            <w:r w:rsidR="00CD0DE7">
              <w:rPr>
                <w:b/>
                <w:iCs/>
                <w:sz w:val="24"/>
                <w:szCs w:val="24"/>
              </w:rPr>
              <w:t>Retention</w:t>
            </w:r>
            <w:r>
              <w:rPr>
                <w:b/>
                <w:iCs/>
                <w:sz w:val="24"/>
                <w:szCs w:val="24"/>
              </w:rPr>
              <w:t xml:space="preserve"> </w:t>
            </w:r>
            <w:r w:rsidR="00CD0DE7">
              <w:rPr>
                <w:b/>
                <w:iCs/>
                <w:sz w:val="24"/>
                <w:szCs w:val="24"/>
              </w:rPr>
              <w:t xml:space="preserve"> Policy</w:t>
            </w:r>
            <w:proofErr w:type="gramEnd"/>
            <w:r w:rsidR="00CD0DE7">
              <w:rPr>
                <w:b/>
                <w:iCs/>
                <w:sz w:val="24"/>
                <w:szCs w:val="24"/>
              </w:rPr>
              <w:t xml:space="preserve">  </w:t>
            </w:r>
          </w:p>
        </w:tc>
      </w:tr>
      <w:tr w:rsidR="00CD0DE7" w:rsidRPr="00267807" w14:paraId="60592D50" w14:textId="77777777" w:rsidTr="00030BF9">
        <w:trPr>
          <w:trHeight w:val="288"/>
        </w:trPr>
        <w:tc>
          <w:tcPr>
            <w:tcW w:w="3119" w:type="dxa"/>
          </w:tcPr>
          <w:p w14:paraId="6959D519" w14:textId="77777777" w:rsidR="00CD0DE7" w:rsidRPr="00267807" w:rsidRDefault="00CD0DE7" w:rsidP="00030BF9">
            <w:pPr>
              <w:spacing w:after="0" w:line="240" w:lineRule="auto"/>
              <w:jc w:val="right"/>
              <w:rPr>
                <w:iCs/>
                <w:sz w:val="24"/>
                <w:szCs w:val="24"/>
              </w:rPr>
            </w:pPr>
            <w:r w:rsidRPr="00267807">
              <w:rPr>
                <w:iCs/>
                <w:sz w:val="24"/>
                <w:szCs w:val="24"/>
              </w:rPr>
              <w:t>Date last reviewed:</w:t>
            </w:r>
          </w:p>
        </w:tc>
        <w:tc>
          <w:tcPr>
            <w:tcW w:w="4678" w:type="dxa"/>
          </w:tcPr>
          <w:p w14:paraId="365119D7" w14:textId="77777777" w:rsidR="00CD0DE7" w:rsidRPr="00267807" w:rsidRDefault="00CD0DE7" w:rsidP="00030BF9">
            <w:pPr>
              <w:spacing w:after="0" w:line="240" w:lineRule="auto"/>
              <w:rPr>
                <w:iCs/>
                <w:sz w:val="24"/>
                <w:szCs w:val="24"/>
              </w:rPr>
            </w:pPr>
            <w:r>
              <w:rPr>
                <w:iCs/>
                <w:sz w:val="24"/>
                <w:szCs w:val="24"/>
              </w:rPr>
              <w:t>N/A</w:t>
            </w:r>
          </w:p>
        </w:tc>
      </w:tr>
      <w:tr w:rsidR="00CD0DE7" w:rsidRPr="00267807" w14:paraId="6824AF8F" w14:textId="77777777" w:rsidTr="00030BF9">
        <w:trPr>
          <w:trHeight w:val="257"/>
        </w:trPr>
        <w:tc>
          <w:tcPr>
            <w:tcW w:w="3119" w:type="dxa"/>
          </w:tcPr>
          <w:p w14:paraId="582C3898" w14:textId="77777777" w:rsidR="00CD0DE7" w:rsidRPr="00267807" w:rsidRDefault="00CD0DE7" w:rsidP="00030BF9">
            <w:pPr>
              <w:spacing w:after="0" w:line="240" w:lineRule="auto"/>
              <w:jc w:val="right"/>
              <w:rPr>
                <w:iCs/>
                <w:sz w:val="24"/>
                <w:szCs w:val="24"/>
              </w:rPr>
            </w:pPr>
            <w:r w:rsidRPr="00267807">
              <w:rPr>
                <w:iCs/>
                <w:sz w:val="24"/>
                <w:szCs w:val="24"/>
              </w:rPr>
              <w:t>Approved by:</w:t>
            </w:r>
          </w:p>
        </w:tc>
        <w:tc>
          <w:tcPr>
            <w:tcW w:w="4678" w:type="dxa"/>
          </w:tcPr>
          <w:p w14:paraId="3383F397" w14:textId="2B5CA48F" w:rsidR="00CD0DE7" w:rsidRPr="00267807" w:rsidRDefault="00CD0DE7" w:rsidP="00030BF9">
            <w:pPr>
              <w:spacing w:after="0" w:line="240" w:lineRule="auto"/>
              <w:rPr>
                <w:iCs/>
                <w:sz w:val="24"/>
                <w:szCs w:val="24"/>
              </w:rPr>
            </w:pPr>
          </w:p>
        </w:tc>
      </w:tr>
      <w:tr w:rsidR="00CD0DE7" w:rsidRPr="00267807" w14:paraId="75CA4301" w14:textId="77777777" w:rsidTr="00030BF9">
        <w:trPr>
          <w:trHeight w:val="257"/>
        </w:trPr>
        <w:tc>
          <w:tcPr>
            <w:tcW w:w="3119" w:type="dxa"/>
          </w:tcPr>
          <w:p w14:paraId="626FFAA2" w14:textId="77777777" w:rsidR="00CD0DE7" w:rsidRPr="00267807" w:rsidRDefault="00CD0DE7" w:rsidP="00030BF9">
            <w:pPr>
              <w:spacing w:after="0" w:line="240" w:lineRule="auto"/>
              <w:jc w:val="right"/>
              <w:rPr>
                <w:iCs/>
                <w:sz w:val="24"/>
                <w:szCs w:val="24"/>
              </w:rPr>
            </w:pPr>
            <w:r>
              <w:rPr>
                <w:iCs/>
                <w:sz w:val="24"/>
                <w:szCs w:val="24"/>
              </w:rPr>
              <w:t>Date:</w:t>
            </w:r>
          </w:p>
        </w:tc>
        <w:tc>
          <w:tcPr>
            <w:tcW w:w="4678" w:type="dxa"/>
          </w:tcPr>
          <w:p w14:paraId="7CEEF216" w14:textId="5BA7D4EC" w:rsidR="00CD0DE7" w:rsidRDefault="00CD0DE7" w:rsidP="00030BF9">
            <w:pPr>
              <w:spacing w:after="0" w:line="240" w:lineRule="auto"/>
              <w:rPr>
                <w:iCs/>
                <w:sz w:val="24"/>
                <w:szCs w:val="24"/>
              </w:rPr>
            </w:pPr>
          </w:p>
        </w:tc>
      </w:tr>
    </w:tbl>
    <w:p w14:paraId="09520ED4" w14:textId="50A049A9" w:rsidR="00ED6C6C" w:rsidRDefault="00ED6C6C"/>
    <w:p w14:paraId="3036AFC3" w14:textId="3D019DBD" w:rsidR="00CD0DE7" w:rsidRDefault="00CD0DE7"/>
    <w:p w14:paraId="020D2398" w14:textId="773AE663" w:rsidR="00CD0DE7" w:rsidRPr="00144311" w:rsidRDefault="00CD0DE7" w:rsidP="00CD0DE7">
      <w:pPr>
        <w:pStyle w:val="ListParagraph"/>
        <w:numPr>
          <w:ilvl w:val="0"/>
          <w:numId w:val="1"/>
        </w:numPr>
        <w:rPr>
          <w:b/>
        </w:rPr>
      </w:pPr>
      <w:r w:rsidRPr="00144311">
        <w:rPr>
          <w:b/>
        </w:rPr>
        <w:t>Scope</w:t>
      </w:r>
    </w:p>
    <w:p w14:paraId="36E0022D" w14:textId="12952B9A" w:rsidR="00144311" w:rsidRDefault="00CD0DE7" w:rsidP="00CD0DE7">
      <w:pPr>
        <w:ind w:left="360"/>
      </w:pPr>
      <w:r>
        <w:t>The York LGBT Forum</w:t>
      </w:r>
      <w:r w:rsidR="00241F86">
        <w:t xml:space="preserve"> Workers*</w:t>
      </w:r>
      <w:r>
        <w:t xml:space="preserve"> whether, analogue or digital, are subject to requirements of this procedure. </w:t>
      </w:r>
    </w:p>
    <w:p w14:paraId="20BD24DA" w14:textId="40B84CA3" w:rsidR="00144311" w:rsidRPr="00144311" w:rsidRDefault="00144311" w:rsidP="00144311">
      <w:pPr>
        <w:pStyle w:val="ListParagraph"/>
        <w:numPr>
          <w:ilvl w:val="0"/>
          <w:numId w:val="1"/>
        </w:numPr>
        <w:rPr>
          <w:b/>
        </w:rPr>
      </w:pPr>
      <w:r w:rsidRPr="00144311">
        <w:rPr>
          <w:b/>
        </w:rPr>
        <w:t>Aim</w:t>
      </w:r>
    </w:p>
    <w:p w14:paraId="29A569DD" w14:textId="1DB24BA6" w:rsidR="00CD0DE7" w:rsidRPr="00144311" w:rsidRDefault="00144311" w:rsidP="00144311">
      <w:pPr>
        <w:pStyle w:val="Default"/>
        <w:ind w:left="360"/>
        <w:rPr>
          <w:rFonts w:asciiTheme="minorHAnsi" w:hAnsiTheme="minorHAnsi" w:cstheme="minorHAnsi"/>
        </w:rPr>
      </w:pPr>
      <w:r w:rsidRPr="00144311">
        <w:rPr>
          <w:rFonts w:asciiTheme="minorHAnsi" w:hAnsiTheme="minorHAnsi" w:cstheme="minorHAnsi"/>
        </w:rPr>
        <w:t xml:space="preserve">The main aim of this policy is to enable the York LGBT Forum to have better management records and support the activities of the Forum. </w:t>
      </w:r>
      <w:r>
        <w:rPr>
          <w:rFonts w:asciiTheme="minorHAnsi" w:hAnsiTheme="minorHAnsi" w:cstheme="minorHAnsi"/>
        </w:rPr>
        <w:t xml:space="preserve"> </w:t>
      </w:r>
      <w:r w:rsidRPr="00144311">
        <w:rPr>
          <w:rFonts w:asciiTheme="minorHAnsi" w:hAnsiTheme="minorHAnsi" w:cstheme="minorHAnsi"/>
        </w:rPr>
        <w:t xml:space="preserve">This policy is required to support the organised creation, retrieval, proper storage and preservation of </w:t>
      </w:r>
      <w:r>
        <w:rPr>
          <w:rFonts w:asciiTheme="minorHAnsi" w:hAnsiTheme="minorHAnsi" w:cstheme="minorHAnsi"/>
        </w:rPr>
        <w:t xml:space="preserve">York LGBT Forum’s </w:t>
      </w:r>
      <w:r w:rsidRPr="00144311">
        <w:rPr>
          <w:rFonts w:asciiTheme="minorHAnsi" w:hAnsiTheme="minorHAnsi" w:cstheme="minorHAnsi"/>
        </w:rPr>
        <w:t>records, and to enable identification and destruction of information where there is no continuing business, legal or historical significance. It also helps us to comply with the requirements of relevant legislation.</w:t>
      </w:r>
    </w:p>
    <w:p w14:paraId="6E7F360E" w14:textId="77777777" w:rsidR="00144311" w:rsidRDefault="00144311" w:rsidP="00144311">
      <w:pPr>
        <w:pStyle w:val="ListParagraph"/>
      </w:pPr>
    </w:p>
    <w:p w14:paraId="53AABCAF" w14:textId="30795AB8" w:rsidR="00CD0DE7" w:rsidRPr="00144311" w:rsidRDefault="00CD0DE7" w:rsidP="00CD0DE7">
      <w:pPr>
        <w:pStyle w:val="ListParagraph"/>
        <w:numPr>
          <w:ilvl w:val="0"/>
          <w:numId w:val="1"/>
        </w:numPr>
        <w:rPr>
          <w:b/>
        </w:rPr>
      </w:pPr>
      <w:r w:rsidRPr="00144311">
        <w:rPr>
          <w:b/>
        </w:rPr>
        <w:t xml:space="preserve">Responsibilities </w:t>
      </w:r>
    </w:p>
    <w:p w14:paraId="6D262361" w14:textId="21501588" w:rsidR="00CD0DE7" w:rsidRDefault="00CD0DE7" w:rsidP="00CD0DE7">
      <w:pPr>
        <w:ind w:left="360"/>
      </w:pPr>
      <w:r>
        <w:t>The following roles are responsible for all personal data collected, retained and destroyed in line with requirements from GDPR:</w:t>
      </w:r>
    </w:p>
    <w:p w14:paraId="17208906" w14:textId="6D5CEDDF" w:rsidR="00CD0DE7" w:rsidRDefault="00CD0DE7" w:rsidP="00CD0DE7">
      <w:pPr>
        <w:pStyle w:val="ListParagraph"/>
        <w:numPr>
          <w:ilvl w:val="0"/>
          <w:numId w:val="2"/>
        </w:numPr>
      </w:pPr>
      <w:r>
        <w:t xml:space="preserve">The treasurer is responsible for keeping financial data </w:t>
      </w:r>
    </w:p>
    <w:p w14:paraId="06412AA0" w14:textId="48C7807F" w:rsidR="00CD0DE7" w:rsidRDefault="00144311" w:rsidP="00CD0DE7">
      <w:pPr>
        <w:pStyle w:val="ListParagraph"/>
        <w:numPr>
          <w:ilvl w:val="0"/>
          <w:numId w:val="2"/>
        </w:numPr>
      </w:pPr>
      <w:r>
        <w:t>The secretary is responsible for keeping records on membership and the minutes</w:t>
      </w:r>
    </w:p>
    <w:p w14:paraId="28995D42" w14:textId="3DFB7CD6" w:rsidR="00144311" w:rsidRDefault="00144311" w:rsidP="00CD0DE7">
      <w:pPr>
        <w:pStyle w:val="ListParagraph"/>
        <w:numPr>
          <w:ilvl w:val="0"/>
          <w:numId w:val="2"/>
        </w:numPr>
      </w:pPr>
      <w:r>
        <w:t>The health and wellbeing subgroup coordinator is responsible for the data from the York Mind project</w:t>
      </w:r>
    </w:p>
    <w:p w14:paraId="12FC5865" w14:textId="7DD3B12E" w:rsidR="00144311" w:rsidRDefault="00144311" w:rsidP="00144311">
      <w:pPr>
        <w:pStyle w:val="ListParagraph"/>
        <w:numPr>
          <w:ilvl w:val="0"/>
          <w:numId w:val="2"/>
        </w:numPr>
      </w:pPr>
      <w:r>
        <w:t>The schools and young person’s subgroup coordinator is responsible for the data from the LGBT Young Person’s Book club.</w:t>
      </w:r>
    </w:p>
    <w:p w14:paraId="3D413775" w14:textId="0814CE49" w:rsidR="00241F86" w:rsidRDefault="00241F86" w:rsidP="00144311">
      <w:pPr>
        <w:pStyle w:val="ListParagraph"/>
        <w:numPr>
          <w:ilvl w:val="0"/>
          <w:numId w:val="2"/>
        </w:numPr>
      </w:pPr>
      <w:r>
        <w:t xml:space="preserve">The </w:t>
      </w:r>
      <w:proofErr w:type="gramStart"/>
      <w:r>
        <w:t>chair’s</w:t>
      </w:r>
      <w:proofErr w:type="gramEnd"/>
      <w:r>
        <w:t xml:space="preserve"> are responsible for the Annual Reports</w:t>
      </w:r>
    </w:p>
    <w:p w14:paraId="57FFA741" w14:textId="77777777" w:rsidR="00144311" w:rsidRDefault="00144311" w:rsidP="00144311">
      <w:pPr>
        <w:pStyle w:val="ListParagraph"/>
        <w:ind w:left="1080"/>
      </w:pPr>
    </w:p>
    <w:p w14:paraId="19396BAF" w14:textId="3396031D" w:rsidR="00144311" w:rsidRDefault="00144311" w:rsidP="00144311">
      <w:pPr>
        <w:pStyle w:val="ListParagraph"/>
        <w:numPr>
          <w:ilvl w:val="0"/>
          <w:numId w:val="1"/>
        </w:numPr>
        <w:rPr>
          <w:b/>
        </w:rPr>
      </w:pPr>
      <w:r w:rsidRPr="00144311">
        <w:rPr>
          <w:b/>
        </w:rPr>
        <w:t>Information that must be kept by La</w:t>
      </w:r>
      <w:r>
        <w:rPr>
          <w:b/>
        </w:rPr>
        <w:t>w</w:t>
      </w:r>
    </w:p>
    <w:p w14:paraId="35024822" w14:textId="77777777" w:rsidR="00144311" w:rsidRDefault="00144311" w:rsidP="00144311">
      <w:pPr>
        <w:pStyle w:val="ListParagraph"/>
        <w:rPr>
          <w:sz w:val="23"/>
          <w:szCs w:val="23"/>
        </w:rPr>
      </w:pPr>
    </w:p>
    <w:p w14:paraId="74499F22" w14:textId="236A0303" w:rsidR="00144311" w:rsidRPr="00144311" w:rsidRDefault="00144311" w:rsidP="00144311">
      <w:pPr>
        <w:pStyle w:val="ListParagraph"/>
        <w:rPr>
          <w:b/>
        </w:rPr>
      </w:pPr>
      <w:r w:rsidRPr="00144311">
        <w:rPr>
          <w:sz w:val="23"/>
          <w:szCs w:val="23"/>
        </w:rPr>
        <w:t>Certain pieces of legislation set out types of information that should be kept and how long they should be kept for, for example, the Health and Safety at Work Act. Where there is a legal requirement to keep information by law, we must do this. There are limits as to how long information needs to be kept for legal purposes.</w:t>
      </w:r>
    </w:p>
    <w:p w14:paraId="52C9AE39" w14:textId="77777777" w:rsidR="00144311" w:rsidRDefault="00144311" w:rsidP="00144311">
      <w:pPr>
        <w:pStyle w:val="ListParagraph"/>
        <w:ind w:left="1080"/>
      </w:pPr>
    </w:p>
    <w:p w14:paraId="33FFDDCA" w14:textId="49BE1445" w:rsidR="00144311" w:rsidRPr="00144311" w:rsidRDefault="00144311" w:rsidP="00144311">
      <w:pPr>
        <w:pStyle w:val="ListParagraph"/>
        <w:numPr>
          <w:ilvl w:val="0"/>
          <w:numId w:val="1"/>
        </w:numPr>
        <w:rPr>
          <w:b/>
        </w:rPr>
      </w:pPr>
      <w:r w:rsidRPr="00144311">
        <w:rPr>
          <w:b/>
        </w:rPr>
        <w:t xml:space="preserve">Retention </w:t>
      </w:r>
      <w:r w:rsidR="00241F86">
        <w:rPr>
          <w:b/>
        </w:rPr>
        <w:t>Schedule</w:t>
      </w:r>
    </w:p>
    <w:p w14:paraId="089E7266" w14:textId="46AC668C" w:rsidR="00241F86" w:rsidRDefault="00241F86" w:rsidP="00241F86">
      <w:pPr>
        <w:pStyle w:val="ListParagraph"/>
        <w:spacing w:after="240"/>
        <w:jc w:val="both"/>
        <w:rPr>
          <w:bCs/>
        </w:rPr>
      </w:pPr>
      <w:r w:rsidRPr="00241F86">
        <w:rPr>
          <w:bCs/>
        </w:rPr>
        <w:t xml:space="preserve">Attached as Appendix A is a Record Retention Schedule that is approved as the initial maintenance, retention and disposal schedule for physical records of </w:t>
      </w:r>
      <w:r>
        <w:t>York LGB</w:t>
      </w:r>
      <w:r w:rsidR="00F547EF">
        <w:t>T</w:t>
      </w:r>
      <w:r>
        <w:t xml:space="preserve"> Forum</w:t>
      </w:r>
      <w:r w:rsidRPr="00241F86">
        <w:rPr>
          <w:bCs/>
        </w:rPr>
        <w:t xml:space="preserve"> and the retention and disposal of electronic documents.  The </w:t>
      </w:r>
      <w:r>
        <w:t xml:space="preserve">specific roles mentioned above </w:t>
      </w:r>
      <w:r w:rsidR="00F547EF">
        <w:t>oversee</w:t>
      </w:r>
      <w:r w:rsidRPr="00241F86">
        <w:rPr>
          <w:bCs/>
        </w:rPr>
        <w:t xml:space="preserve"> the administration of this Policy and the implementation of processes and procedures to ensure that the Record Retention Schedule is followed.  The </w:t>
      </w:r>
      <w:r>
        <w:rPr>
          <w:bCs/>
        </w:rPr>
        <w:t xml:space="preserve">committee will </w:t>
      </w:r>
      <w:r w:rsidRPr="00241F86">
        <w:rPr>
          <w:bCs/>
        </w:rPr>
        <w:t xml:space="preserve">make modifications to the Record Retention Schedule from time to time to ensure that it </w:t>
      </w:r>
      <w:r w:rsidR="00F547EF" w:rsidRPr="00241F86">
        <w:rPr>
          <w:bCs/>
        </w:rPr>
        <w:t>follows</w:t>
      </w:r>
      <w:r w:rsidRPr="00241F86">
        <w:rPr>
          <w:bCs/>
        </w:rPr>
        <w:t xml:space="preserve"> </w:t>
      </w:r>
      <w:r>
        <w:rPr>
          <w:bCs/>
        </w:rPr>
        <w:t xml:space="preserve">the </w:t>
      </w:r>
      <w:r w:rsidRPr="00241F86">
        <w:rPr>
          <w:bCs/>
        </w:rPr>
        <w:t>law</w:t>
      </w:r>
      <w:r w:rsidR="00F547EF">
        <w:rPr>
          <w:bCs/>
        </w:rPr>
        <w:t xml:space="preserve">. </w:t>
      </w:r>
    </w:p>
    <w:p w14:paraId="5EE6E71E" w14:textId="5B3D5711" w:rsidR="00F547EF" w:rsidRDefault="00F547EF" w:rsidP="00241F86">
      <w:pPr>
        <w:pStyle w:val="ListParagraph"/>
        <w:spacing w:after="240"/>
        <w:jc w:val="both"/>
        <w:rPr>
          <w:bCs/>
        </w:rPr>
      </w:pPr>
    </w:p>
    <w:p w14:paraId="5B4219F7" w14:textId="11EAFD10" w:rsidR="00F547EF" w:rsidRDefault="00F547EF" w:rsidP="00241F86">
      <w:pPr>
        <w:pStyle w:val="ListParagraph"/>
        <w:spacing w:after="240"/>
        <w:jc w:val="both"/>
        <w:rPr>
          <w:bCs/>
        </w:rPr>
      </w:pPr>
    </w:p>
    <w:p w14:paraId="7EFB0A9A" w14:textId="292F47AB" w:rsidR="00F547EF" w:rsidRDefault="00F547EF" w:rsidP="00241F86">
      <w:pPr>
        <w:pStyle w:val="ListParagraph"/>
        <w:spacing w:after="240"/>
        <w:jc w:val="both"/>
        <w:rPr>
          <w:bCs/>
        </w:rPr>
      </w:pPr>
    </w:p>
    <w:p w14:paraId="15DD402B" w14:textId="77777777" w:rsidR="009E1E82" w:rsidRDefault="009E1E82" w:rsidP="00241F86">
      <w:pPr>
        <w:pStyle w:val="ListParagraph"/>
        <w:spacing w:after="240"/>
        <w:jc w:val="both"/>
        <w:rPr>
          <w:bCs/>
        </w:rPr>
      </w:pPr>
    </w:p>
    <w:p w14:paraId="5157E4EA" w14:textId="63F36B50" w:rsidR="00F547EF" w:rsidRPr="00241F86" w:rsidRDefault="00F547EF" w:rsidP="00241F86">
      <w:pPr>
        <w:pStyle w:val="ListParagraph"/>
        <w:spacing w:after="240"/>
        <w:jc w:val="both"/>
        <w:rPr>
          <w:bCs/>
        </w:rPr>
      </w:pPr>
    </w:p>
    <w:p w14:paraId="7045698C" w14:textId="77777777" w:rsidR="00F547EF" w:rsidRPr="00D62880" w:rsidRDefault="00F547EF" w:rsidP="00F547EF">
      <w:pPr>
        <w:spacing w:after="240"/>
        <w:jc w:val="both"/>
        <w:rPr>
          <w:b/>
        </w:rPr>
      </w:pPr>
      <w:r w:rsidRPr="00D62880">
        <w:rPr>
          <w:b/>
        </w:rPr>
        <w:t xml:space="preserve">APPENDIX A </w:t>
      </w:r>
      <w:r w:rsidRPr="00D62880">
        <w:rPr>
          <w:b/>
        </w:rPr>
        <w:noBreakHyphen/>
        <w:t xml:space="preserve"> RECORD RETENTION SCHEDULE</w:t>
      </w:r>
    </w:p>
    <w:p w14:paraId="3A411F14" w14:textId="0C68D706" w:rsidR="00F547EF" w:rsidRPr="00D62880" w:rsidRDefault="00F547EF" w:rsidP="009E1E82">
      <w:pPr>
        <w:tabs>
          <w:tab w:val="left" w:pos="720"/>
          <w:tab w:val="left" w:pos="1440"/>
        </w:tabs>
      </w:pPr>
      <w:r w:rsidRPr="00D62880">
        <w:t>The Record Retention Schedule is organi</w:t>
      </w:r>
      <w:r>
        <w:t>s</w:t>
      </w:r>
      <w:r w:rsidRPr="00D62880">
        <w:t>ed as follows:</w:t>
      </w:r>
    </w:p>
    <w:p w14:paraId="3CB6A1DA" w14:textId="2874BDA7" w:rsidR="00F547EF" w:rsidRPr="00D62880" w:rsidRDefault="00F547EF" w:rsidP="00F547EF">
      <w:pPr>
        <w:tabs>
          <w:tab w:val="left" w:pos="500"/>
        </w:tabs>
        <w:ind w:left="500" w:hanging="500"/>
        <w:rPr>
          <w:b/>
        </w:rPr>
      </w:pPr>
      <w:r w:rsidRPr="00D62880">
        <w:rPr>
          <w:b/>
        </w:rPr>
        <w:t>SECTION TOPIC</w:t>
      </w:r>
    </w:p>
    <w:p w14:paraId="456BF4B2" w14:textId="77777777" w:rsidR="00F547EF" w:rsidRDefault="00F547EF" w:rsidP="00F547EF">
      <w:pPr>
        <w:numPr>
          <w:ilvl w:val="0"/>
          <w:numId w:val="3"/>
        </w:numPr>
        <w:tabs>
          <w:tab w:val="left" w:pos="500"/>
        </w:tabs>
        <w:overflowPunct w:val="0"/>
        <w:autoSpaceDE w:val="0"/>
        <w:autoSpaceDN w:val="0"/>
        <w:adjustRightInd w:val="0"/>
        <w:spacing w:after="0" w:line="240" w:lineRule="auto"/>
        <w:ind w:left="500" w:hanging="500"/>
        <w:textAlignment w:val="baseline"/>
      </w:pPr>
      <w:r w:rsidRPr="00D62880">
        <w:t>Accounting and Finance</w:t>
      </w:r>
    </w:p>
    <w:p w14:paraId="19E42A68" w14:textId="6D390633" w:rsidR="00F547EF" w:rsidRDefault="00F547EF" w:rsidP="00F547EF">
      <w:pPr>
        <w:numPr>
          <w:ilvl w:val="0"/>
          <w:numId w:val="3"/>
        </w:numPr>
        <w:tabs>
          <w:tab w:val="left" w:pos="500"/>
        </w:tabs>
        <w:overflowPunct w:val="0"/>
        <w:autoSpaceDE w:val="0"/>
        <w:autoSpaceDN w:val="0"/>
        <w:adjustRightInd w:val="0"/>
        <w:spacing w:after="0" w:line="240" w:lineRule="auto"/>
        <w:ind w:left="500" w:hanging="500"/>
        <w:textAlignment w:val="baseline"/>
      </w:pPr>
      <w:r>
        <w:t>Governance Records</w:t>
      </w:r>
    </w:p>
    <w:p w14:paraId="613B89AF" w14:textId="77777777" w:rsidR="00F547EF" w:rsidRDefault="00F547EF" w:rsidP="00F547EF">
      <w:pPr>
        <w:numPr>
          <w:ilvl w:val="0"/>
          <w:numId w:val="3"/>
        </w:numPr>
        <w:tabs>
          <w:tab w:val="left" w:pos="500"/>
        </w:tabs>
        <w:overflowPunct w:val="0"/>
        <w:autoSpaceDE w:val="0"/>
        <w:autoSpaceDN w:val="0"/>
        <w:adjustRightInd w:val="0"/>
        <w:spacing w:after="0" w:line="240" w:lineRule="auto"/>
        <w:ind w:left="500" w:hanging="500"/>
        <w:textAlignment w:val="baseline"/>
      </w:pPr>
      <w:r w:rsidRPr="00D62880">
        <w:t>Correspondence and Internal Memoranda</w:t>
      </w:r>
    </w:p>
    <w:p w14:paraId="441DD75D" w14:textId="77777777" w:rsidR="00F547EF" w:rsidRDefault="00F547EF" w:rsidP="00F547EF">
      <w:pPr>
        <w:numPr>
          <w:ilvl w:val="0"/>
          <w:numId w:val="3"/>
        </w:numPr>
        <w:tabs>
          <w:tab w:val="left" w:pos="500"/>
        </w:tabs>
        <w:overflowPunct w:val="0"/>
        <w:autoSpaceDE w:val="0"/>
        <w:autoSpaceDN w:val="0"/>
        <w:adjustRightInd w:val="0"/>
        <w:spacing w:after="0" w:line="240" w:lineRule="auto"/>
        <w:ind w:left="500" w:hanging="500"/>
        <w:textAlignment w:val="baseline"/>
      </w:pPr>
      <w:r w:rsidRPr="00D62880">
        <w:t>Electronic Documents</w:t>
      </w:r>
    </w:p>
    <w:p w14:paraId="47DBEDFD" w14:textId="77777777" w:rsidR="00F547EF" w:rsidRDefault="00F547EF" w:rsidP="00F547EF">
      <w:pPr>
        <w:numPr>
          <w:ilvl w:val="0"/>
          <w:numId w:val="3"/>
        </w:numPr>
        <w:tabs>
          <w:tab w:val="left" w:pos="500"/>
        </w:tabs>
        <w:overflowPunct w:val="0"/>
        <w:autoSpaceDE w:val="0"/>
        <w:autoSpaceDN w:val="0"/>
        <w:adjustRightInd w:val="0"/>
        <w:spacing w:after="0" w:line="240" w:lineRule="auto"/>
        <w:ind w:left="500" w:hanging="500"/>
        <w:textAlignment w:val="baseline"/>
      </w:pPr>
      <w:r>
        <w:t xml:space="preserve">Grant </w:t>
      </w:r>
      <w:r w:rsidRPr="00D62880">
        <w:t>Records</w:t>
      </w:r>
      <w:r>
        <w:t xml:space="preserve"> </w:t>
      </w:r>
    </w:p>
    <w:p w14:paraId="5B45EFA1" w14:textId="77777777" w:rsidR="00F547EF" w:rsidRDefault="00F547EF" w:rsidP="00F547EF">
      <w:pPr>
        <w:numPr>
          <w:ilvl w:val="0"/>
          <w:numId w:val="3"/>
        </w:numPr>
        <w:tabs>
          <w:tab w:val="left" w:pos="500"/>
        </w:tabs>
        <w:overflowPunct w:val="0"/>
        <w:autoSpaceDE w:val="0"/>
        <w:autoSpaceDN w:val="0"/>
        <w:adjustRightInd w:val="0"/>
        <w:spacing w:after="0" w:line="240" w:lineRule="auto"/>
        <w:ind w:left="500" w:hanging="500"/>
        <w:textAlignment w:val="baseline"/>
      </w:pPr>
      <w:r w:rsidRPr="00D62880">
        <w:t>Insurance Records</w:t>
      </w:r>
    </w:p>
    <w:p w14:paraId="1438DC13" w14:textId="77777777" w:rsidR="00F547EF" w:rsidRDefault="00F547EF" w:rsidP="00F547EF">
      <w:pPr>
        <w:numPr>
          <w:ilvl w:val="0"/>
          <w:numId w:val="3"/>
        </w:numPr>
        <w:tabs>
          <w:tab w:val="left" w:pos="500"/>
        </w:tabs>
        <w:overflowPunct w:val="0"/>
        <w:autoSpaceDE w:val="0"/>
        <w:autoSpaceDN w:val="0"/>
        <w:adjustRightInd w:val="0"/>
        <w:spacing w:after="0" w:line="240" w:lineRule="auto"/>
        <w:ind w:left="500" w:hanging="500"/>
        <w:textAlignment w:val="baseline"/>
      </w:pPr>
      <w:r w:rsidRPr="00D62880">
        <w:t>Miscellaneous</w:t>
      </w:r>
    </w:p>
    <w:p w14:paraId="0560B323" w14:textId="11B35947" w:rsidR="00F547EF" w:rsidRPr="00D62880" w:rsidRDefault="00F547EF" w:rsidP="00F547EF">
      <w:pPr>
        <w:numPr>
          <w:ilvl w:val="0"/>
          <w:numId w:val="3"/>
        </w:numPr>
        <w:tabs>
          <w:tab w:val="left" w:pos="500"/>
        </w:tabs>
        <w:overflowPunct w:val="0"/>
        <w:autoSpaceDE w:val="0"/>
        <w:autoSpaceDN w:val="0"/>
        <w:adjustRightInd w:val="0"/>
        <w:spacing w:after="0" w:line="240" w:lineRule="auto"/>
        <w:ind w:left="500" w:hanging="500"/>
        <w:textAlignment w:val="baseline"/>
      </w:pPr>
      <w:r w:rsidRPr="00D62880">
        <w:t>Program</w:t>
      </w:r>
      <w:r>
        <w:t xml:space="preserve">mes, Services and </w:t>
      </w:r>
      <w:r w:rsidRPr="00D62880">
        <w:t>Project Records</w:t>
      </w:r>
    </w:p>
    <w:p w14:paraId="69C5070D" w14:textId="77777777" w:rsidR="00F547EF" w:rsidRDefault="00F547EF" w:rsidP="00F547EF">
      <w:pPr>
        <w:tabs>
          <w:tab w:val="left" w:pos="720"/>
          <w:tab w:val="left" w:pos="1440"/>
        </w:tabs>
        <w:ind w:left="1008"/>
      </w:pPr>
    </w:p>
    <w:p w14:paraId="23709F58" w14:textId="3A3D86E6" w:rsidR="00144311" w:rsidRDefault="00F547EF" w:rsidP="00241F86">
      <w:r>
        <w:t xml:space="preserve">A – </w:t>
      </w:r>
      <w:r w:rsidRPr="009E1E82">
        <w:rPr>
          <w:b/>
        </w:rPr>
        <w:t>Accounting and Finance</w:t>
      </w:r>
    </w:p>
    <w:tbl>
      <w:tblPr>
        <w:tblStyle w:val="TableGrid"/>
        <w:tblW w:w="0" w:type="auto"/>
        <w:tblLook w:val="04A0" w:firstRow="1" w:lastRow="0" w:firstColumn="1" w:lastColumn="0" w:noHBand="0" w:noVBand="1"/>
      </w:tblPr>
      <w:tblGrid>
        <w:gridCol w:w="4508"/>
        <w:gridCol w:w="4508"/>
      </w:tblGrid>
      <w:tr w:rsidR="00F547EF" w14:paraId="3C8F7981" w14:textId="77777777" w:rsidTr="00F547EF">
        <w:tc>
          <w:tcPr>
            <w:tcW w:w="4508" w:type="dxa"/>
          </w:tcPr>
          <w:p w14:paraId="6A589D0F" w14:textId="01AE97DF" w:rsidR="00F547EF" w:rsidRPr="009E1E82" w:rsidRDefault="00F547EF" w:rsidP="00241F86">
            <w:pPr>
              <w:rPr>
                <w:b/>
              </w:rPr>
            </w:pPr>
            <w:r w:rsidRPr="009E1E82">
              <w:rPr>
                <w:b/>
              </w:rPr>
              <w:t xml:space="preserve">Record Type </w:t>
            </w:r>
          </w:p>
        </w:tc>
        <w:tc>
          <w:tcPr>
            <w:tcW w:w="4508" w:type="dxa"/>
          </w:tcPr>
          <w:p w14:paraId="648E2788" w14:textId="58E8F141" w:rsidR="00F547EF" w:rsidRPr="009E1E82" w:rsidRDefault="00F547EF" w:rsidP="00241F86">
            <w:pPr>
              <w:rPr>
                <w:b/>
              </w:rPr>
            </w:pPr>
            <w:r w:rsidRPr="009E1E82">
              <w:rPr>
                <w:b/>
              </w:rPr>
              <w:t xml:space="preserve">Retention Period </w:t>
            </w:r>
          </w:p>
        </w:tc>
      </w:tr>
      <w:tr w:rsidR="00F547EF" w14:paraId="54DAEA78" w14:textId="77777777" w:rsidTr="00F547EF">
        <w:tc>
          <w:tcPr>
            <w:tcW w:w="4508" w:type="dxa"/>
          </w:tcPr>
          <w:p w14:paraId="1ED6766C" w14:textId="64A70124" w:rsidR="00F547EF" w:rsidRDefault="00F547EF" w:rsidP="00241F86">
            <w:r>
              <w:t>Audit Reports and Financial Statements</w:t>
            </w:r>
          </w:p>
        </w:tc>
        <w:tc>
          <w:tcPr>
            <w:tcW w:w="4508" w:type="dxa"/>
          </w:tcPr>
          <w:p w14:paraId="2489C86E" w14:textId="56628EB0" w:rsidR="00F547EF" w:rsidRDefault="00F547EF" w:rsidP="00241F86">
            <w:r>
              <w:t>Permanent</w:t>
            </w:r>
            <w:r>
              <w:br/>
              <w:t>Copies can be archived</w:t>
            </w:r>
          </w:p>
        </w:tc>
      </w:tr>
      <w:tr w:rsidR="00F547EF" w14:paraId="10E8B51A" w14:textId="77777777" w:rsidTr="00F547EF">
        <w:tc>
          <w:tcPr>
            <w:tcW w:w="4508" w:type="dxa"/>
          </w:tcPr>
          <w:p w14:paraId="45265DD2" w14:textId="1EACA7EF" w:rsidR="00F547EF" w:rsidRDefault="00F547EF" w:rsidP="00241F86">
            <w:r>
              <w:t>Annual Audit Records (Receipts and other work papers e.g. invoices)</w:t>
            </w:r>
          </w:p>
        </w:tc>
        <w:tc>
          <w:tcPr>
            <w:tcW w:w="4508" w:type="dxa"/>
          </w:tcPr>
          <w:p w14:paraId="6BEA270B" w14:textId="27F1D936" w:rsidR="00F547EF" w:rsidRDefault="00F547EF" w:rsidP="00241F86">
            <w:r>
              <w:t>7 years</w:t>
            </w:r>
            <w:r>
              <w:br/>
              <w:t>Copies can be archived</w:t>
            </w:r>
          </w:p>
        </w:tc>
      </w:tr>
      <w:tr w:rsidR="00F547EF" w14:paraId="6EC9B91C" w14:textId="77777777" w:rsidTr="00F547EF">
        <w:tc>
          <w:tcPr>
            <w:tcW w:w="4508" w:type="dxa"/>
          </w:tcPr>
          <w:p w14:paraId="035C029E" w14:textId="5C8A9B84" w:rsidR="00F547EF" w:rsidRDefault="00F547EF" w:rsidP="00241F86">
            <w:r>
              <w:t>Four Year Plans and Budgets</w:t>
            </w:r>
          </w:p>
        </w:tc>
        <w:tc>
          <w:tcPr>
            <w:tcW w:w="4508" w:type="dxa"/>
          </w:tcPr>
          <w:p w14:paraId="7BDD2B0E" w14:textId="42B22869" w:rsidR="00F547EF" w:rsidRDefault="00F547EF" w:rsidP="00241F86">
            <w:r>
              <w:t xml:space="preserve">Permanent </w:t>
            </w:r>
            <w:r>
              <w:br/>
              <w:t>Copies can be archived</w:t>
            </w:r>
          </w:p>
        </w:tc>
      </w:tr>
      <w:tr w:rsidR="00F547EF" w14:paraId="1DB1D9B9" w14:textId="77777777" w:rsidTr="00F547EF">
        <w:tc>
          <w:tcPr>
            <w:tcW w:w="4508" w:type="dxa"/>
          </w:tcPr>
          <w:p w14:paraId="34898D92" w14:textId="7A6C4435" w:rsidR="00F547EF" w:rsidRDefault="00F547EF" w:rsidP="00241F86">
            <w:r>
              <w:t>Bank Statement and Cancelled Cheques</w:t>
            </w:r>
          </w:p>
        </w:tc>
        <w:tc>
          <w:tcPr>
            <w:tcW w:w="4508" w:type="dxa"/>
          </w:tcPr>
          <w:p w14:paraId="1C08EE7C" w14:textId="3FBFD914" w:rsidR="00F547EF" w:rsidRDefault="00F547EF" w:rsidP="00241F86">
            <w:r>
              <w:t>7 years</w:t>
            </w:r>
          </w:p>
        </w:tc>
      </w:tr>
    </w:tbl>
    <w:p w14:paraId="656D0250" w14:textId="7658FE44" w:rsidR="00F547EF" w:rsidRDefault="00F547EF" w:rsidP="00241F86"/>
    <w:p w14:paraId="4F1F73AF" w14:textId="31196788" w:rsidR="00F547EF" w:rsidRPr="009E1E82" w:rsidRDefault="00F547EF" w:rsidP="00241F86">
      <w:pPr>
        <w:rPr>
          <w:b/>
        </w:rPr>
      </w:pPr>
      <w:r w:rsidRPr="009E1E82">
        <w:rPr>
          <w:b/>
        </w:rPr>
        <w:t xml:space="preserve">B – Governance Records </w:t>
      </w:r>
    </w:p>
    <w:tbl>
      <w:tblPr>
        <w:tblStyle w:val="TableGrid"/>
        <w:tblW w:w="0" w:type="auto"/>
        <w:tblLook w:val="04A0" w:firstRow="1" w:lastRow="0" w:firstColumn="1" w:lastColumn="0" w:noHBand="0" w:noVBand="1"/>
      </w:tblPr>
      <w:tblGrid>
        <w:gridCol w:w="4508"/>
        <w:gridCol w:w="4508"/>
      </w:tblGrid>
      <w:tr w:rsidR="009E1E82" w14:paraId="1B08053D" w14:textId="77777777" w:rsidTr="00030BF9">
        <w:tc>
          <w:tcPr>
            <w:tcW w:w="4508" w:type="dxa"/>
          </w:tcPr>
          <w:p w14:paraId="20748BE1" w14:textId="77777777" w:rsidR="009E1E82" w:rsidRPr="009E1E82" w:rsidRDefault="009E1E82" w:rsidP="00030BF9">
            <w:pPr>
              <w:rPr>
                <w:b/>
              </w:rPr>
            </w:pPr>
            <w:r w:rsidRPr="009E1E82">
              <w:rPr>
                <w:b/>
              </w:rPr>
              <w:t xml:space="preserve">Record Type </w:t>
            </w:r>
          </w:p>
        </w:tc>
        <w:tc>
          <w:tcPr>
            <w:tcW w:w="4508" w:type="dxa"/>
          </w:tcPr>
          <w:p w14:paraId="3226F169" w14:textId="77777777" w:rsidR="009E1E82" w:rsidRPr="009E1E82" w:rsidRDefault="009E1E82" w:rsidP="00030BF9">
            <w:pPr>
              <w:rPr>
                <w:b/>
              </w:rPr>
            </w:pPr>
            <w:r w:rsidRPr="009E1E82">
              <w:rPr>
                <w:b/>
              </w:rPr>
              <w:t xml:space="preserve">Retention Period </w:t>
            </w:r>
          </w:p>
        </w:tc>
      </w:tr>
      <w:tr w:rsidR="009E1E82" w14:paraId="41066A06" w14:textId="77777777" w:rsidTr="00030BF9">
        <w:tc>
          <w:tcPr>
            <w:tcW w:w="4508" w:type="dxa"/>
          </w:tcPr>
          <w:p w14:paraId="1DBDC290" w14:textId="19A667BA" w:rsidR="009E1E82" w:rsidRDefault="009E1E82" w:rsidP="00030BF9">
            <w:r>
              <w:t>Minutes of Meetings</w:t>
            </w:r>
          </w:p>
        </w:tc>
        <w:tc>
          <w:tcPr>
            <w:tcW w:w="4508" w:type="dxa"/>
          </w:tcPr>
          <w:p w14:paraId="13DDDA25" w14:textId="77777777" w:rsidR="009E1E82" w:rsidRDefault="009E1E82" w:rsidP="00030BF9">
            <w:r>
              <w:t>Permanent</w:t>
            </w:r>
            <w:r>
              <w:br/>
              <w:t>Copies can be archived</w:t>
            </w:r>
          </w:p>
        </w:tc>
      </w:tr>
      <w:tr w:rsidR="009E1E82" w14:paraId="6F2CD484" w14:textId="77777777" w:rsidTr="00030BF9">
        <w:tc>
          <w:tcPr>
            <w:tcW w:w="4508" w:type="dxa"/>
          </w:tcPr>
          <w:p w14:paraId="60CEF1B1" w14:textId="695DF01D" w:rsidR="009E1E82" w:rsidRDefault="009E1E82" w:rsidP="00030BF9">
            <w:r>
              <w:t>Agenda of Meetings</w:t>
            </w:r>
          </w:p>
        </w:tc>
        <w:tc>
          <w:tcPr>
            <w:tcW w:w="4508" w:type="dxa"/>
          </w:tcPr>
          <w:p w14:paraId="7E1B0F74" w14:textId="6B229807" w:rsidR="009E1E82" w:rsidRDefault="009E1E82" w:rsidP="00030BF9">
            <w:r>
              <w:t>Permanent</w:t>
            </w:r>
            <w:r>
              <w:br/>
              <w:t>Copies can be archived</w:t>
            </w:r>
          </w:p>
        </w:tc>
      </w:tr>
      <w:tr w:rsidR="009E1E82" w14:paraId="0A739B83" w14:textId="77777777" w:rsidTr="00030BF9">
        <w:tc>
          <w:tcPr>
            <w:tcW w:w="4508" w:type="dxa"/>
          </w:tcPr>
          <w:p w14:paraId="557CBABC" w14:textId="5BBED2D0" w:rsidR="009E1E82" w:rsidRDefault="009E1E82" w:rsidP="00030BF9">
            <w:r>
              <w:t xml:space="preserve">Constitution </w:t>
            </w:r>
          </w:p>
        </w:tc>
        <w:tc>
          <w:tcPr>
            <w:tcW w:w="4508" w:type="dxa"/>
          </w:tcPr>
          <w:p w14:paraId="2D149A63" w14:textId="61CF8E46" w:rsidR="009E1E82" w:rsidRDefault="009E1E82" w:rsidP="00030BF9">
            <w:r>
              <w:t xml:space="preserve">Permanent </w:t>
            </w:r>
            <w:r>
              <w:br/>
              <w:t>Copies can be archived</w:t>
            </w:r>
          </w:p>
        </w:tc>
      </w:tr>
      <w:tr w:rsidR="009E1E82" w14:paraId="34A155C4" w14:textId="77777777" w:rsidTr="00030BF9">
        <w:tc>
          <w:tcPr>
            <w:tcW w:w="4508" w:type="dxa"/>
          </w:tcPr>
          <w:p w14:paraId="58421853" w14:textId="5BE8BF5F" w:rsidR="009E1E82" w:rsidRDefault="009E1E82" w:rsidP="00030BF9">
            <w:r>
              <w:t>Annual Reports</w:t>
            </w:r>
          </w:p>
        </w:tc>
        <w:tc>
          <w:tcPr>
            <w:tcW w:w="4508" w:type="dxa"/>
          </w:tcPr>
          <w:p w14:paraId="7AAC074F" w14:textId="7430E1E5" w:rsidR="009E1E82" w:rsidRDefault="009E1E82" w:rsidP="00030BF9">
            <w:r>
              <w:t>Permanent</w:t>
            </w:r>
            <w:r>
              <w:br/>
              <w:t>Copies can be archived</w:t>
            </w:r>
          </w:p>
        </w:tc>
      </w:tr>
      <w:tr w:rsidR="0032371A" w14:paraId="0998255A" w14:textId="77777777" w:rsidTr="00030BF9">
        <w:tc>
          <w:tcPr>
            <w:tcW w:w="4508" w:type="dxa"/>
          </w:tcPr>
          <w:p w14:paraId="0DA0A57D" w14:textId="468430A4" w:rsidR="0032371A" w:rsidRDefault="0032371A" w:rsidP="00030BF9">
            <w:r>
              <w:t>York LGBT Forum</w:t>
            </w:r>
            <w:r w:rsidRPr="00D62880">
              <w:t xml:space="preserve"> or other documents evidencing terms of gifts</w:t>
            </w:r>
          </w:p>
        </w:tc>
        <w:tc>
          <w:tcPr>
            <w:tcW w:w="4508" w:type="dxa"/>
          </w:tcPr>
          <w:p w14:paraId="66F96B59" w14:textId="61F2738A" w:rsidR="0032371A" w:rsidRDefault="0032371A" w:rsidP="00030BF9">
            <w:r>
              <w:t xml:space="preserve">Permanent </w:t>
            </w:r>
          </w:p>
        </w:tc>
      </w:tr>
      <w:tr w:rsidR="0032371A" w14:paraId="318D725C" w14:textId="77777777" w:rsidTr="00030BF9">
        <w:tc>
          <w:tcPr>
            <w:tcW w:w="4508" w:type="dxa"/>
          </w:tcPr>
          <w:p w14:paraId="5A0B8060" w14:textId="11EF5B27" w:rsidR="0032371A" w:rsidRDefault="0032371A" w:rsidP="00030BF9">
            <w:r>
              <w:t>Conflict of Interest</w:t>
            </w:r>
          </w:p>
        </w:tc>
        <w:tc>
          <w:tcPr>
            <w:tcW w:w="4508" w:type="dxa"/>
          </w:tcPr>
          <w:p w14:paraId="0648CA81" w14:textId="79C43A81" w:rsidR="0032371A" w:rsidRDefault="0032371A" w:rsidP="00030BF9">
            <w:r>
              <w:t xml:space="preserve">Permanent </w:t>
            </w:r>
          </w:p>
        </w:tc>
      </w:tr>
    </w:tbl>
    <w:p w14:paraId="36A599F5" w14:textId="77777777" w:rsidR="009E1E82" w:rsidRDefault="009E1E82" w:rsidP="00241F86"/>
    <w:p w14:paraId="5ACFF0E2" w14:textId="2F12FDB2" w:rsidR="00F547EF" w:rsidRDefault="009E1E82" w:rsidP="00241F86">
      <w:pPr>
        <w:rPr>
          <w:b/>
        </w:rPr>
      </w:pPr>
      <w:r w:rsidRPr="009E1E82">
        <w:rPr>
          <w:b/>
        </w:rPr>
        <w:t xml:space="preserve">C – Correspondence External and Internal </w:t>
      </w:r>
    </w:p>
    <w:p w14:paraId="1C473DC9" w14:textId="1EC829A5" w:rsidR="009E1E82" w:rsidRPr="00D62880" w:rsidRDefault="009E1E82" w:rsidP="009E1E82">
      <w:pPr>
        <w:tabs>
          <w:tab w:val="left" w:pos="720"/>
          <w:tab w:val="left" w:pos="1440"/>
        </w:tabs>
        <w:ind w:left="500"/>
        <w:jc w:val="both"/>
      </w:pPr>
      <w:r w:rsidRPr="00D62880">
        <w:rPr>
          <w:b/>
          <w:bCs/>
        </w:rPr>
        <w:t>General Principle:</w:t>
      </w:r>
      <w:r w:rsidRPr="00D62880">
        <w:t xml:space="preserve"> Most correspondence </w:t>
      </w:r>
      <w:r>
        <w:t>external and internal</w:t>
      </w:r>
      <w:r w:rsidRPr="00D62880">
        <w:t xml:space="preserve"> should be retained for the same period as the document they pertain to or support. For instance, a letter pertaining to a </w:t>
      </w:r>
      <w:proofErr w:type="gramStart"/>
      <w:r w:rsidRPr="00D62880">
        <w:t>particular contract</w:t>
      </w:r>
      <w:proofErr w:type="gramEnd"/>
      <w:r w:rsidRPr="00D62880">
        <w:t xml:space="preserve"> would be retained as long as the contract (7 years after expiration). It is recommended that records that support a </w:t>
      </w:r>
      <w:proofErr w:type="gramStart"/>
      <w:r w:rsidRPr="00D62880">
        <w:t>particular project</w:t>
      </w:r>
      <w:proofErr w:type="gramEnd"/>
      <w:r w:rsidRPr="00D62880">
        <w:t xml:space="preserve"> be kept with the project and take on the retention time of that particular project file. </w:t>
      </w:r>
    </w:p>
    <w:p w14:paraId="741A0515" w14:textId="77777777" w:rsidR="009E1E82" w:rsidRPr="00D62880" w:rsidRDefault="009E1E82" w:rsidP="009E1E82">
      <w:pPr>
        <w:tabs>
          <w:tab w:val="left" w:pos="720"/>
          <w:tab w:val="left" w:pos="1440"/>
        </w:tabs>
        <w:ind w:left="500"/>
        <w:jc w:val="both"/>
      </w:pPr>
    </w:p>
    <w:p w14:paraId="6EDDB8BE" w14:textId="12A072E3" w:rsidR="009E1E82" w:rsidRPr="00D62880" w:rsidRDefault="009E1E82" w:rsidP="009E1E82">
      <w:pPr>
        <w:tabs>
          <w:tab w:val="left" w:pos="720"/>
          <w:tab w:val="left" w:pos="1440"/>
        </w:tabs>
        <w:ind w:left="500"/>
        <w:jc w:val="both"/>
      </w:pPr>
      <w:r w:rsidRPr="00D62880">
        <w:t>Correspondence that do not pertain to documents having a prescribed retention period should generally be discarded sooner. These may be divided into two general categories:</w:t>
      </w:r>
    </w:p>
    <w:p w14:paraId="22133D8C" w14:textId="210FDD78" w:rsidR="009E1E82" w:rsidRPr="00D62880" w:rsidRDefault="009E1E82" w:rsidP="009E1E82">
      <w:pPr>
        <w:numPr>
          <w:ilvl w:val="2"/>
          <w:numId w:val="5"/>
        </w:numPr>
        <w:tabs>
          <w:tab w:val="clear" w:pos="720"/>
          <w:tab w:val="left" w:pos="900"/>
        </w:tabs>
        <w:overflowPunct w:val="0"/>
        <w:autoSpaceDE w:val="0"/>
        <w:autoSpaceDN w:val="0"/>
        <w:adjustRightInd w:val="0"/>
        <w:spacing w:after="0" w:line="240" w:lineRule="auto"/>
        <w:ind w:left="900" w:hanging="400"/>
        <w:jc w:val="both"/>
        <w:textAlignment w:val="baseline"/>
      </w:pPr>
      <w:r w:rsidRPr="00D62880">
        <w:t xml:space="preserve">Those pertaining to routine matters and having no significant, lasting consequences should be discarded </w:t>
      </w:r>
      <w:r w:rsidRPr="00D62880">
        <w:rPr>
          <w:i/>
        </w:rPr>
        <w:t xml:space="preserve">within two years. </w:t>
      </w:r>
      <w:r w:rsidRPr="00D62880">
        <w:t>Some examples include:</w:t>
      </w:r>
    </w:p>
    <w:p w14:paraId="572CE1C0" w14:textId="77777777" w:rsidR="009E1E82" w:rsidRPr="00D62880" w:rsidRDefault="009E1E82" w:rsidP="009E1E82">
      <w:pPr>
        <w:numPr>
          <w:ilvl w:val="0"/>
          <w:numId w:val="4"/>
        </w:numPr>
        <w:tabs>
          <w:tab w:val="clear" w:pos="1728"/>
          <w:tab w:val="num" w:pos="1200"/>
        </w:tabs>
        <w:overflowPunct w:val="0"/>
        <w:autoSpaceDE w:val="0"/>
        <w:autoSpaceDN w:val="0"/>
        <w:adjustRightInd w:val="0"/>
        <w:spacing w:after="0" w:line="240" w:lineRule="auto"/>
        <w:ind w:left="1200" w:hanging="300"/>
        <w:jc w:val="both"/>
        <w:textAlignment w:val="baseline"/>
      </w:pPr>
      <w:r w:rsidRPr="00D62880">
        <w:t>Routine letters and notes that require no acknowledgment or follow</w:t>
      </w:r>
      <w:r w:rsidRPr="00D62880">
        <w:noBreakHyphen/>
        <w:t>up, such as notes of appreciation, congratulations, letters of transmittal, and plans for meetings.</w:t>
      </w:r>
    </w:p>
    <w:p w14:paraId="6FDD5DEF" w14:textId="77777777" w:rsidR="009E1E82" w:rsidRPr="00D62880" w:rsidRDefault="009E1E82" w:rsidP="009E1E82">
      <w:pPr>
        <w:numPr>
          <w:ilvl w:val="0"/>
          <w:numId w:val="4"/>
        </w:numPr>
        <w:tabs>
          <w:tab w:val="clear" w:pos="1728"/>
          <w:tab w:val="num" w:pos="1200"/>
        </w:tabs>
        <w:overflowPunct w:val="0"/>
        <w:autoSpaceDE w:val="0"/>
        <w:autoSpaceDN w:val="0"/>
        <w:adjustRightInd w:val="0"/>
        <w:spacing w:after="0" w:line="240" w:lineRule="auto"/>
        <w:ind w:left="1200" w:hanging="300"/>
        <w:jc w:val="both"/>
        <w:textAlignment w:val="baseline"/>
      </w:pPr>
      <w:r w:rsidRPr="00D62880">
        <w:t>Form letters that require no follow</w:t>
      </w:r>
      <w:r w:rsidRPr="00D62880">
        <w:noBreakHyphen/>
        <w:t>up.</w:t>
      </w:r>
    </w:p>
    <w:p w14:paraId="1A699C34" w14:textId="77777777" w:rsidR="009E1E82" w:rsidRPr="00D62880" w:rsidRDefault="009E1E82" w:rsidP="009E1E82">
      <w:pPr>
        <w:numPr>
          <w:ilvl w:val="0"/>
          <w:numId w:val="4"/>
        </w:numPr>
        <w:tabs>
          <w:tab w:val="clear" w:pos="1728"/>
          <w:tab w:val="num" w:pos="1200"/>
        </w:tabs>
        <w:overflowPunct w:val="0"/>
        <w:autoSpaceDE w:val="0"/>
        <w:autoSpaceDN w:val="0"/>
        <w:adjustRightInd w:val="0"/>
        <w:spacing w:after="0" w:line="240" w:lineRule="auto"/>
        <w:ind w:left="1200" w:hanging="300"/>
        <w:jc w:val="both"/>
        <w:textAlignment w:val="baseline"/>
      </w:pPr>
      <w:r w:rsidRPr="00D62880">
        <w:t>Letters of general inquiry and replies that complete a cycle of correspondence.</w:t>
      </w:r>
    </w:p>
    <w:p w14:paraId="609A2C76" w14:textId="77777777" w:rsidR="009E1E82" w:rsidRPr="00D62880" w:rsidRDefault="009E1E82" w:rsidP="009E1E82">
      <w:pPr>
        <w:numPr>
          <w:ilvl w:val="0"/>
          <w:numId w:val="4"/>
        </w:numPr>
        <w:tabs>
          <w:tab w:val="clear" w:pos="1728"/>
          <w:tab w:val="num" w:pos="1200"/>
        </w:tabs>
        <w:overflowPunct w:val="0"/>
        <w:autoSpaceDE w:val="0"/>
        <w:autoSpaceDN w:val="0"/>
        <w:adjustRightInd w:val="0"/>
        <w:spacing w:after="0" w:line="240" w:lineRule="auto"/>
        <w:ind w:left="1200" w:hanging="300"/>
        <w:jc w:val="both"/>
        <w:textAlignment w:val="baseline"/>
      </w:pPr>
      <w:r w:rsidRPr="00D62880">
        <w:t>Letters or complaints requesting specific action that have no further value after changes are made or action taken (such as name or address change).</w:t>
      </w:r>
    </w:p>
    <w:p w14:paraId="15A8A634" w14:textId="77777777" w:rsidR="009E1E82" w:rsidRPr="00D62880" w:rsidRDefault="009E1E82" w:rsidP="009E1E82">
      <w:pPr>
        <w:numPr>
          <w:ilvl w:val="0"/>
          <w:numId w:val="4"/>
        </w:numPr>
        <w:tabs>
          <w:tab w:val="clear" w:pos="1728"/>
          <w:tab w:val="num" w:pos="1200"/>
        </w:tabs>
        <w:overflowPunct w:val="0"/>
        <w:autoSpaceDE w:val="0"/>
        <w:autoSpaceDN w:val="0"/>
        <w:adjustRightInd w:val="0"/>
        <w:spacing w:after="0" w:line="240" w:lineRule="auto"/>
        <w:ind w:left="1200" w:hanging="300"/>
        <w:jc w:val="both"/>
        <w:textAlignment w:val="baseline"/>
      </w:pPr>
      <w:r w:rsidRPr="00D62880">
        <w:t xml:space="preserve">Other letters of inconsequential subject matter or that </w:t>
      </w:r>
      <w:proofErr w:type="gramStart"/>
      <w:r w:rsidRPr="00D62880">
        <w:t>definitely close</w:t>
      </w:r>
      <w:proofErr w:type="gramEnd"/>
      <w:r w:rsidRPr="00D62880">
        <w:t xml:space="preserve"> correspondence to which no further reference will be necessary.</w:t>
      </w:r>
    </w:p>
    <w:p w14:paraId="4E1269D1" w14:textId="77777777" w:rsidR="009E1E82" w:rsidRDefault="009E1E82" w:rsidP="009E1E82">
      <w:pPr>
        <w:numPr>
          <w:ilvl w:val="0"/>
          <w:numId w:val="4"/>
        </w:numPr>
        <w:tabs>
          <w:tab w:val="clear" w:pos="1728"/>
          <w:tab w:val="num" w:pos="1200"/>
        </w:tabs>
        <w:overflowPunct w:val="0"/>
        <w:autoSpaceDE w:val="0"/>
        <w:autoSpaceDN w:val="0"/>
        <w:adjustRightInd w:val="0"/>
        <w:spacing w:after="0" w:line="240" w:lineRule="auto"/>
        <w:ind w:left="1200" w:hanging="300"/>
        <w:jc w:val="both"/>
        <w:textAlignment w:val="baseline"/>
      </w:pPr>
      <w:r w:rsidRPr="00D62880">
        <w:t>Chronological correspondence files.</w:t>
      </w:r>
    </w:p>
    <w:p w14:paraId="099445C7" w14:textId="648E9C63" w:rsidR="009E1E82" w:rsidRPr="00D62880" w:rsidRDefault="009E1E82" w:rsidP="009E1E82">
      <w:pPr>
        <w:overflowPunct w:val="0"/>
        <w:autoSpaceDE w:val="0"/>
        <w:autoSpaceDN w:val="0"/>
        <w:adjustRightInd w:val="0"/>
        <w:spacing w:after="0" w:line="240" w:lineRule="auto"/>
        <w:jc w:val="both"/>
        <w:textAlignment w:val="baseline"/>
      </w:pPr>
      <w:r w:rsidRPr="00D62880">
        <w:t>Please note that copies of interoffice correspondence and documents where a copy will be in the originating department file should be read and destroyed, unless that information provides reference to or direction to other documents and must be kept for project traceability.</w:t>
      </w:r>
    </w:p>
    <w:p w14:paraId="18459E6A" w14:textId="77777777" w:rsidR="009E1E82" w:rsidRPr="00D62880" w:rsidRDefault="009E1E82" w:rsidP="009E1E82">
      <w:pPr>
        <w:tabs>
          <w:tab w:val="left" w:pos="720"/>
          <w:tab w:val="left" w:pos="1440"/>
        </w:tabs>
        <w:ind w:left="1008"/>
      </w:pPr>
    </w:p>
    <w:p w14:paraId="41DB080C" w14:textId="77777777" w:rsidR="009E1E82" w:rsidRPr="00D62880" w:rsidRDefault="009E1E82" w:rsidP="009E1E82">
      <w:pPr>
        <w:numPr>
          <w:ilvl w:val="2"/>
          <w:numId w:val="5"/>
        </w:numPr>
        <w:tabs>
          <w:tab w:val="clear" w:pos="720"/>
          <w:tab w:val="left" w:pos="900"/>
        </w:tabs>
        <w:overflowPunct w:val="0"/>
        <w:autoSpaceDE w:val="0"/>
        <w:autoSpaceDN w:val="0"/>
        <w:adjustRightInd w:val="0"/>
        <w:spacing w:after="0" w:line="240" w:lineRule="auto"/>
        <w:ind w:left="900" w:hanging="400"/>
        <w:jc w:val="both"/>
        <w:textAlignment w:val="baseline"/>
      </w:pPr>
      <w:r w:rsidRPr="00D62880">
        <w:t>Those pertaining to non</w:t>
      </w:r>
      <w:r w:rsidRPr="00D62880">
        <w:noBreakHyphen/>
        <w:t>routine matters or having significant lasting consequences should generally be retained permanently.</w:t>
      </w:r>
    </w:p>
    <w:p w14:paraId="069B7367" w14:textId="4B4A1338" w:rsidR="009E1E82" w:rsidRDefault="009E1E82" w:rsidP="00241F86">
      <w:pPr>
        <w:rPr>
          <w:b/>
        </w:rPr>
      </w:pPr>
      <w:r>
        <w:rPr>
          <w:b/>
        </w:rPr>
        <w:t>D – Electronic Documents</w:t>
      </w:r>
    </w:p>
    <w:p w14:paraId="31C98E6A" w14:textId="77777777" w:rsidR="009E1E82" w:rsidRPr="00DE7F62" w:rsidRDefault="009E1E82" w:rsidP="009E1E82">
      <w:pPr>
        <w:numPr>
          <w:ilvl w:val="0"/>
          <w:numId w:val="6"/>
        </w:numPr>
        <w:tabs>
          <w:tab w:val="clear" w:pos="1080"/>
          <w:tab w:val="num" w:pos="900"/>
        </w:tabs>
        <w:spacing w:after="0" w:line="240" w:lineRule="auto"/>
        <w:ind w:left="900" w:hanging="400"/>
      </w:pPr>
      <w:r w:rsidRPr="00D00A37">
        <w:rPr>
          <w:b/>
        </w:rPr>
        <w:t>Electronic Mail</w:t>
      </w:r>
      <w:r w:rsidRPr="00DE7F62">
        <w:t xml:space="preserve">: </w:t>
      </w:r>
      <w:r>
        <w:t>Not a</w:t>
      </w:r>
      <w:r w:rsidRPr="00DE7F62">
        <w:t>ll email need</w:t>
      </w:r>
      <w:r>
        <w:t>s</w:t>
      </w:r>
      <w:r w:rsidRPr="00DE7F62">
        <w:t xml:space="preserve"> to be retained, depending on the subject matter. </w:t>
      </w:r>
    </w:p>
    <w:p w14:paraId="1C6939FF" w14:textId="2C8F994E" w:rsidR="009E1E82" w:rsidRDefault="009E1E82" w:rsidP="009E1E82">
      <w:pPr>
        <w:numPr>
          <w:ilvl w:val="0"/>
          <w:numId w:val="7"/>
        </w:numPr>
        <w:tabs>
          <w:tab w:val="clear" w:pos="1440"/>
          <w:tab w:val="num" w:pos="1200"/>
        </w:tabs>
        <w:spacing w:after="0" w:line="240" w:lineRule="auto"/>
        <w:ind w:left="1200" w:hanging="300"/>
        <w:rPr>
          <w:bCs/>
        </w:rPr>
      </w:pPr>
      <w:r w:rsidRPr="00DE7F62">
        <w:rPr>
          <w:bCs/>
        </w:rPr>
        <w:t xml:space="preserve">All e-mail—from internal or external sources—is to be deleted </w:t>
      </w:r>
      <w:proofErr w:type="gramStart"/>
      <w:r w:rsidRPr="00DE7F62">
        <w:rPr>
          <w:bCs/>
        </w:rPr>
        <w:t xml:space="preserve">after </w:t>
      </w:r>
      <w:r>
        <w:rPr>
          <w:bCs/>
        </w:rPr>
        <w:t>?</w:t>
      </w:r>
      <w:proofErr w:type="gramEnd"/>
      <w:r>
        <w:rPr>
          <w:bCs/>
        </w:rPr>
        <w:t>??</w:t>
      </w:r>
      <w:r w:rsidRPr="00DE7F62">
        <w:rPr>
          <w:bCs/>
        </w:rPr>
        <w:t xml:space="preserve">. </w:t>
      </w:r>
    </w:p>
    <w:p w14:paraId="0BE2BC0A" w14:textId="6B35106C" w:rsidR="009E1E82" w:rsidRDefault="009E1E82" w:rsidP="009E1E82">
      <w:pPr>
        <w:numPr>
          <w:ilvl w:val="0"/>
          <w:numId w:val="7"/>
        </w:numPr>
        <w:tabs>
          <w:tab w:val="clear" w:pos="1440"/>
          <w:tab w:val="num" w:pos="1200"/>
        </w:tabs>
        <w:spacing w:after="0" w:line="240" w:lineRule="auto"/>
        <w:ind w:left="1200" w:hanging="300"/>
        <w:rPr>
          <w:bCs/>
        </w:rPr>
      </w:pPr>
      <w:r>
        <w:rPr>
          <w:bCs/>
        </w:rPr>
        <w:t>Workers</w:t>
      </w:r>
      <w:r w:rsidRPr="00DE7F62">
        <w:rPr>
          <w:bCs/>
        </w:rPr>
        <w:t xml:space="preserve"> will strive to keep </w:t>
      </w:r>
      <w:proofErr w:type="gramStart"/>
      <w:r>
        <w:rPr>
          <w:bCs/>
        </w:rPr>
        <w:t>all</w:t>
      </w:r>
      <w:proofErr w:type="gramEnd"/>
      <w:r>
        <w:rPr>
          <w:bCs/>
        </w:rPr>
        <w:t xml:space="preserve"> but an insignificant minority</w:t>
      </w:r>
      <w:r w:rsidRPr="00DE7F62">
        <w:rPr>
          <w:bCs/>
        </w:rPr>
        <w:t xml:space="preserve"> of their e-mail related to business issues. </w:t>
      </w:r>
    </w:p>
    <w:p w14:paraId="080A8D71" w14:textId="7E99347C" w:rsidR="009E1E82" w:rsidRPr="00204FA4" w:rsidRDefault="009E1E82" w:rsidP="00204FA4">
      <w:pPr>
        <w:numPr>
          <w:ilvl w:val="0"/>
          <w:numId w:val="7"/>
        </w:numPr>
        <w:tabs>
          <w:tab w:val="clear" w:pos="1440"/>
          <w:tab w:val="num" w:pos="1200"/>
        </w:tabs>
        <w:spacing w:after="0" w:line="240" w:lineRule="auto"/>
        <w:ind w:left="1200" w:hanging="300"/>
        <w:rPr>
          <w:bCs/>
        </w:rPr>
      </w:pPr>
      <w:r>
        <w:t>York LGBT Forum</w:t>
      </w:r>
      <w:r w:rsidRPr="00DE7F62">
        <w:rPr>
          <w:bCs/>
        </w:rPr>
        <w:t xml:space="preserve"> will archive e-mail for </w:t>
      </w:r>
      <w:r>
        <w:rPr>
          <w:bCs/>
        </w:rPr>
        <w:t>???</w:t>
      </w:r>
      <w:r w:rsidRPr="00DE7F62">
        <w:rPr>
          <w:bCs/>
        </w:rPr>
        <w:t xml:space="preserve"> after the </w:t>
      </w:r>
      <w:r>
        <w:rPr>
          <w:bCs/>
        </w:rPr>
        <w:t>worker</w:t>
      </w:r>
      <w:r w:rsidRPr="00DE7F62">
        <w:rPr>
          <w:bCs/>
        </w:rPr>
        <w:t xml:space="preserve"> has deleted it, after which time the e-mail will be permanently deleted.</w:t>
      </w:r>
    </w:p>
    <w:p w14:paraId="17E0ED70" w14:textId="60465757" w:rsidR="009E1E82" w:rsidRDefault="00204FA4" w:rsidP="009E1E82">
      <w:pPr>
        <w:numPr>
          <w:ilvl w:val="0"/>
          <w:numId w:val="7"/>
        </w:numPr>
        <w:tabs>
          <w:tab w:val="clear" w:pos="1440"/>
          <w:tab w:val="num" w:pos="1200"/>
        </w:tabs>
        <w:spacing w:after="0" w:line="240" w:lineRule="auto"/>
        <w:ind w:left="1200" w:hanging="300"/>
        <w:rPr>
          <w:bCs/>
        </w:rPr>
      </w:pPr>
      <w:r>
        <w:rPr>
          <w:bCs/>
        </w:rPr>
        <w:t>Workers</w:t>
      </w:r>
      <w:r w:rsidR="009E1E82" w:rsidRPr="00DE7F62">
        <w:rPr>
          <w:bCs/>
        </w:rPr>
        <w:t xml:space="preserve"> will not store or transfer </w:t>
      </w:r>
      <w:r>
        <w:t>York LGBT Forum</w:t>
      </w:r>
      <w:r w:rsidR="009E1E82" w:rsidRPr="00DE7F62">
        <w:rPr>
          <w:bCs/>
        </w:rPr>
        <w:t xml:space="preserve">-related e-mail on </w:t>
      </w:r>
      <w:r>
        <w:rPr>
          <w:bCs/>
        </w:rPr>
        <w:t>personal email</w:t>
      </w:r>
      <w:r w:rsidR="009E1E82" w:rsidRPr="00DE7F62">
        <w:rPr>
          <w:bCs/>
        </w:rPr>
        <w:t xml:space="preserve"> except as necessary or appropriate for </w:t>
      </w:r>
      <w:r>
        <w:t>York LGBT Forum</w:t>
      </w:r>
      <w:r w:rsidR="009E1E82" w:rsidRPr="00DE7F62">
        <w:rPr>
          <w:bCs/>
        </w:rPr>
        <w:t xml:space="preserve"> purposes. </w:t>
      </w:r>
    </w:p>
    <w:p w14:paraId="2B019CCF" w14:textId="26435FB1" w:rsidR="009E1E82" w:rsidRDefault="00204FA4" w:rsidP="009E1E82">
      <w:pPr>
        <w:numPr>
          <w:ilvl w:val="0"/>
          <w:numId w:val="7"/>
        </w:numPr>
        <w:tabs>
          <w:tab w:val="clear" w:pos="1440"/>
          <w:tab w:val="num" w:pos="1200"/>
        </w:tabs>
        <w:spacing w:after="0" w:line="240" w:lineRule="auto"/>
        <w:ind w:left="1200" w:hanging="300"/>
        <w:rPr>
          <w:bCs/>
        </w:rPr>
      </w:pPr>
      <w:r>
        <w:rPr>
          <w:bCs/>
        </w:rPr>
        <w:t>Workers</w:t>
      </w:r>
      <w:r w:rsidR="009E1E82" w:rsidRPr="00DE7F62">
        <w:rPr>
          <w:bCs/>
        </w:rPr>
        <w:t xml:space="preserve"> will take care not to send confidential/proprietary </w:t>
      </w:r>
      <w:r>
        <w:t>York LGBT Forum</w:t>
      </w:r>
      <w:r w:rsidR="009E1E82" w:rsidRPr="00DE7F62">
        <w:rPr>
          <w:bCs/>
        </w:rPr>
        <w:t xml:space="preserve"> information to outside sources. </w:t>
      </w:r>
    </w:p>
    <w:p w14:paraId="5196DDB3" w14:textId="1FD960C8" w:rsidR="009E1E82" w:rsidRDefault="009E1E82" w:rsidP="009E1E82">
      <w:pPr>
        <w:numPr>
          <w:ilvl w:val="0"/>
          <w:numId w:val="7"/>
        </w:numPr>
        <w:tabs>
          <w:tab w:val="clear" w:pos="1440"/>
          <w:tab w:val="num" w:pos="1200"/>
        </w:tabs>
        <w:spacing w:after="0" w:line="240" w:lineRule="auto"/>
        <w:ind w:left="1200" w:hanging="300"/>
        <w:rPr>
          <w:bCs/>
        </w:rPr>
      </w:pPr>
      <w:r w:rsidRPr="00DE7F62">
        <w:rPr>
          <w:bCs/>
        </w:rPr>
        <w:t xml:space="preserve">Any e-mail </w:t>
      </w:r>
      <w:r w:rsidR="00204FA4">
        <w:rPr>
          <w:bCs/>
        </w:rPr>
        <w:t>worker</w:t>
      </w:r>
      <w:r w:rsidRPr="00DE7F62">
        <w:rPr>
          <w:bCs/>
        </w:rPr>
        <w:t xml:space="preserve"> deems vital to the performance of </w:t>
      </w:r>
      <w:r>
        <w:rPr>
          <w:bCs/>
        </w:rPr>
        <w:t xml:space="preserve">their </w:t>
      </w:r>
      <w:r w:rsidRPr="00DE7F62">
        <w:rPr>
          <w:bCs/>
        </w:rPr>
        <w:t xml:space="preserve">job should be copied to the </w:t>
      </w:r>
      <w:r w:rsidR="00204FA4">
        <w:rPr>
          <w:bCs/>
        </w:rPr>
        <w:t xml:space="preserve">google </w:t>
      </w:r>
      <w:proofErr w:type="gramStart"/>
      <w:r w:rsidR="00204FA4">
        <w:rPr>
          <w:bCs/>
        </w:rPr>
        <w:t>drive</w:t>
      </w:r>
      <w:r w:rsidRPr="00DE7F62">
        <w:rPr>
          <w:bCs/>
        </w:rPr>
        <w:t>, and</w:t>
      </w:r>
      <w:proofErr w:type="gramEnd"/>
      <w:r w:rsidRPr="00DE7F62">
        <w:rPr>
          <w:bCs/>
        </w:rPr>
        <w:t xml:space="preserve"> printed and stored </w:t>
      </w:r>
      <w:r w:rsidR="00204FA4">
        <w:rPr>
          <w:bCs/>
        </w:rPr>
        <w:t>in a lockable folder</w:t>
      </w:r>
      <w:r w:rsidRPr="00DE7F62">
        <w:rPr>
          <w:bCs/>
        </w:rPr>
        <w:t>.</w:t>
      </w:r>
    </w:p>
    <w:p w14:paraId="6CBAF381" w14:textId="77777777" w:rsidR="00204FA4" w:rsidRPr="00DE7F62" w:rsidRDefault="00204FA4" w:rsidP="00204FA4">
      <w:pPr>
        <w:numPr>
          <w:ilvl w:val="0"/>
          <w:numId w:val="6"/>
        </w:numPr>
        <w:tabs>
          <w:tab w:val="clear" w:pos="1080"/>
          <w:tab w:val="num" w:pos="900"/>
        </w:tabs>
        <w:spacing w:after="0" w:line="240" w:lineRule="auto"/>
        <w:ind w:left="900" w:hanging="400"/>
      </w:pPr>
      <w:r w:rsidRPr="00204FA4">
        <w:rPr>
          <w:b/>
        </w:rPr>
        <w:t>Electronic Documents:</w:t>
      </w:r>
      <w:r w:rsidRPr="00DE7F62">
        <w:t xml:space="preserve"> </w:t>
      </w:r>
      <w:r>
        <w:t>including Microsoft Office Suite</w:t>
      </w:r>
      <w:r w:rsidRPr="00DE7F62">
        <w:t xml:space="preserve"> and PDF files. Retention also depends on the subject matter.</w:t>
      </w:r>
    </w:p>
    <w:p w14:paraId="527A5433" w14:textId="17561D4D" w:rsidR="00204FA4" w:rsidRDefault="00204FA4" w:rsidP="00204FA4">
      <w:pPr>
        <w:numPr>
          <w:ilvl w:val="1"/>
          <w:numId w:val="8"/>
        </w:numPr>
        <w:tabs>
          <w:tab w:val="clear" w:pos="1440"/>
          <w:tab w:val="num" w:pos="1200"/>
        </w:tabs>
        <w:overflowPunct w:val="0"/>
        <w:autoSpaceDE w:val="0"/>
        <w:autoSpaceDN w:val="0"/>
        <w:adjustRightInd w:val="0"/>
        <w:spacing w:after="0" w:line="240" w:lineRule="auto"/>
        <w:ind w:left="1200" w:hanging="300"/>
        <w:textAlignment w:val="baseline"/>
        <w:rPr>
          <w:bCs/>
        </w:rPr>
      </w:pPr>
      <w:r w:rsidRPr="00D00A37">
        <w:rPr>
          <w:b/>
        </w:rPr>
        <w:t>PDF documents</w:t>
      </w:r>
      <w:r w:rsidRPr="00DE7F62">
        <w:rPr>
          <w:b/>
        </w:rPr>
        <w:t xml:space="preserve"> </w:t>
      </w:r>
      <w:r w:rsidRPr="00DE7F62">
        <w:rPr>
          <w:bCs/>
        </w:rPr>
        <w:t xml:space="preserve">– The length of time that a PDF file should be retained should be based upon the content of the file and the category under the various sections of this policy. The maximum period that a PDF file should be retained </w:t>
      </w:r>
      <w:proofErr w:type="gramStart"/>
      <w:r w:rsidRPr="00DE7F62">
        <w:rPr>
          <w:bCs/>
        </w:rPr>
        <w:t xml:space="preserve">is </w:t>
      </w:r>
      <w:r>
        <w:rPr>
          <w:bCs/>
        </w:rPr>
        <w:t>?</w:t>
      </w:r>
      <w:proofErr w:type="gramEnd"/>
      <w:r>
        <w:rPr>
          <w:bCs/>
        </w:rPr>
        <w:t xml:space="preserve">???. </w:t>
      </w:r>
      <w:r w:rsidRPr="00DE7F62">
        <w:rPr>
          <w:bCs/>
        </w:rPr>
        <w:t xml:space="preserve">PDF files the </w:t>
      </w:r>
      <w:r>
        <w:rPr>
          <w:bCs/>
        </w:rPr>
        <w:t>Worker</w:t>
      </w:r>
      <w:r w:rsidRPr="00DE7F62">
        <w:rPr>
          <w:bCs/>
        </w:rPr>
        <w:t xml:space="preserve"> deems vital to the performance of </w:t>
      </w:r>
      <w:r>
        <w:rPr>
          <w:bCs/>
        </w:rPr>
        <w:t>their work</w:t>
      </w:r>
      <w:r w:rsidRPr="00DE7F62">
        <w:rPr>
          <w:bCs/>
        </w:rPr>
        <w:t xml:space="preserve"> should be printed and stored in </w:t>
      </w:r>
      <w:proofErr w:type="gramStart"/>
      <w:r>
        <w:rPr>
          <w:bCs/>
        </w:rPr>
        <w:t>the a</w:t>
      </w:r>
      <w:proofErr w:type="gramEnd"/>
      <w:r>
        <w:rPr>
          <w:bCs/>
        </w:rPr>
        <w:t xml:space="preserve"> locked folder. </w:t>
      </w:r>
    </w:p>
    <w:p w14:paraId="71628CA8" w14:textId="13FFECF8" w:rsidR="00204FA4" w:rsidRPr="00204FA4" w:rsidRDefault="00204FA4" w:rsidP="00204FA4">
      <w:pPr>
        <w:numPr>
          <w:ilvl w:val="1"/>
          <w:numId w:val="8"/>
        </w:numPr>
        <w:tabs>
          <w:tab w:val="clear" w:pos="1440"/>
          <w:tab w:val="num" w:pos="1200"/>
        </w:tabs>
        <w:overflowPunct w:val="0"/>
        <w:autoSpaceDE w:val="0"/>
        <w:autoSpaceDN w:val="0"/>
        <w:adjustRightInd w:val="0"/>
        <w:spacing w:after="0" w:line="240" w:lineRule="auto"/>
        <w:ind w:left="1200" w:hanging="300"/>
        <w:textAlignment w:val="baseline"/>
        <w:rPr>
          <w:bCs/>
        </w:rPr>
      </w:pPr>
      <w:r w:rsidRPr="00204FA4">
        <w:rPr>
          <w:b/>
        </w:rPr>
        <w:t>Text/formatted files</w:t>
      </w:r>
      <w:r w:rsidRPr="00204FA4">
        <w:rPr>
          <w:bCs/>
        </w:rPr>
        <w:t xml:space="preserve"> - </w:t>
      </w:r>
      <w:r>
        <w:rPr>
          <w:bCs/>
        </w:rPr>
        <w:t>Workers</w:t>
      </w:r>
      <w:r w:rsidRPr="00204FA4">
        <w:rPr>
          <w:bCs/>
        </w:rPr>
        <w:t xml:space="preserve"> will conduct annual reviews of all text/formatted files (e.g., Microsoft Word documents) and will delete all those they consider unnecessary or outdated. </w:t>
      </w:r>
      <w:r>
        <w:rPr>
          <w:bCs/>
        </w:rPr>
        <w:t>????</w:t>
      </w:r>
      <w:r w:rsidRPr="00204FA4">
        <w:rPr>
          <w:bCs/>
        </w:rPr>
        <w:t xml:space="preserve">, all text files will be deleted from the </w:t>
      </w:r>
      <w:r>
        <w:rPr>
          <w:bCs/>
        </w:rPr>
        <w:t>google drive</w:t>
      </w:r>
      <w:r w:rsidRPr="00204FA4">
        <w:rPr>
          <w:bCs/>
        </w:rPr>
        <w:t xml:space="preserve">. Text/formatted files the </w:t>
      </w:r>
      <w:r>
        <w:rPr>
          <w:bCs/>
        </w:rPr>
        <w:t>Workers</w:t>
      </w:r>
      <w:r w:rsidRPr="00204FA4">
        <w:rPr>
          <w:bCs/>
        </w:rPr>
        <w:t xml:space="preserve"> deems vital to the performance of their job should be printed and stored in </w:t>
      </w:r>
      <w:r>
        <w:rPr>
          <w:bCs/>
        </w:rPr>
        <w:t>a locked folder</w:t>
      </w:r>
      <w:r w:rsidRPr="00204FA4">
        <w:rPr>
          <w:bCs/>
        </w:rPr>
        <w:br/>
      </w:r>
    </w:p>
    <w:p w14:paraId="73D03417" w14:textId="443B633C" w:rsidR="009E1E82" w:rsidRDefault="00204FA4" w:rsidP="00241F86">
      <w:pPr>
        <w:rPr>
          <w:b/>
        </w:rPr>
      </w:pPr>
      <w:r>
        <w:rPr>
          <w:b/>
        </w:rPr>
        <w:t>E-Grant Records</w:t>
      </w:r>
    </w:p>
    <w:tbl>
      <w:tblPr>
        <w:tblStyle w:val="TableGrid"/>
        <w:tblW w:w="0" w:type="auto"/>
        <w:tblLook w:val="04A0" w:firstRow="1" w:lastRow="0" w:firstColumn="1" w:lastColumn="0" w:noHBand="0" w:noVBand="1"/>
      </w:tblPr>
      <w:tblGrid>
        <w:gridCol w:w="4508"/>
        <w:gridCol w:w="4508"/>
      </w:tblGrid>
      <w:tr w:rsidR="00204FA4" w:rsidRPr="00D62880" w14:paraId="3F99FBB6" w14:textId="77777777" w:rsidTr="00204FA4">
        <w:trPr>
          <w:trHeight w:val="570"/>
        </w:trPr>
        <w:tc>
          <w:tcPr>
            <w:tcW w:w="4508" w:type="dxa"/>
          </w:tcPr>
          <w:p w14:paraId="590AFF32" w14:textId="77777777" w:rsidR="00204FA4" w:rsidRPr="00D62880" w:rsidRDefault="00204FA4" w:rsidP="00030BF9">
            <w:r w:rsidRPr="00D62880">
              <w:rPr>
                <w:b/>
                <w:bCs/>
              </w:rPr>
              <w:lastRenderedPageBreak/>
              <w:t>Record Type</w:t>
            </w:r>
          </w:p>
        </w:tc>
        <w:tc>
          <w:tcPr>
            <w:tcW w:w="4508" w:type="dxa"/>
          </w:tcPr>
          <w:p w14:paraId="15ECFC5B" w14:textId="77777777" w:rsidR="00204FA4" w:rsidRPr="00D62880" w:rsidRDefault="00204FA4" w:rsidP="00030BF9">
            <w:pPr>
              <w:rPr>
                <w:b/>
              </w:rPr>
            </w:pPr>
            <w:r w:rsidRPr="00D62880">
              <w:rPr>
                <w:b/>
              </w:rPr>
              <w:t>Retention Period</w:t>
            </w:r>
          </w:p>
        </w:tc>
      </w:tr>
      <w:tr w:rsidR="00204FA4" w:rsidRPr="00D62880" w14:paraId="443DF468" w14:textId="77777777" w:rsidTr="00204FA4">
        <w:tc>
          <w:tcPr>
            <w:tcW w:w="4508" w:type="dxa"/>
          </w:tcPr>
          <w:p w14:paraId="115A47FE" w14:textId="77777777" w:rsidR="00204FA4" w:rsidRPr="00D62880" w:rsidRDefault="00204FA4" w:rsidP="00030BF9">
            <w:bookmarkStart w:id="0" w:name="_Hlk145989771"/>
            <w:r>
              <w:t>Original grant proposal</w:t>
            </w:r>
          </w:p>
        </w:tc>
        <w:tc>
          <w:tcPr>
            <w:tcW w:w="4508" w:type="dxa"/>
          </w:tcPr>
          <w:p w14:paraId="4F888AB4" w14:textId="356EF7A4" w:rsidR="00204FA4" w:rsidRPr="00D62880" w:rsidRDefault="00204FA4" w:rsidP="00030BF9">
            <w:r>
              <w:t xml:space="preserve">7 years after completion of grant period </w:t>
            </w:r>
          </w:p>
        </w:tc>
      </w:tr>
      <w:bookmarkEnd w:id="0"/>
      <w:tr w:rsidR="00204FA4" w:rsidRPr="00D62880" w14:paraId="4EE2A94F" w14:textId="77777777" w:rsidTr="00204FA4">
        <w:tc>
          <w:tcPr>
            <w:tcW w:w="4508" w:type="dxa"/>
          </w:tcPr>
          <w:p w14:paraId="488AFFCE" w14:textId="77777777" w:rsidR="00204FA4" w:rsidRPr="00D62880" w:rsidRDefault="00204FA4" w:rsidP="00030BF9">
            <w:r>
              <w:t>Grant agreement and subsequent modifications, if applicable</w:t>
            </w:r>
          </w:p>
        </w:tc>
        <w:tc>
          <w:tcPr>
            <w:tcW w:w="4508" w:type="dxa"/>
          </w:tcPr>
          <w:p w14:paraId="178470A8" w14:textId="77777777" w:rsidR="00204FA4" w:rsidRPr="00D62880" w:rsidRDefault="00204FA4" w:rsidP="00030BF9">
            <w:r>
              <w:t>7 years after completion of grant period</w:t>
            </w:r>
          </w:p>
        </w:tc>
      </w:tr>
      <w:tr w:rsidR="00204FA4" w:rsidRPr="00D62880" w14:paraId="0B9D5781" w14:textId="77777777" w:rsidTr="00204FA4">
        <w:tc>
          <w:tcPr>
            <w:tcW w:w="4508" w:type="dxa"/>
          </w:tcPr>
          <w:p w14:paraId="2C64CB59" w14:textId="77777777" w:rsidR="00204FA4" w:rsidRPr="00D62880" w:rsidRDefault="00204FA4" w:rsidP="00030BF9">
            <w:r>
              <w:t>Final grantee reports, both financial and narrative</w:t>
            </w:r>
          </w:p>
        </w:tc>
        <w:tc>
          <w:tcPr>
            <w:tcW w:w="4508" w:type="dxa"/>
          </w:tcPr>
          <w:p w14:paraId="31D9CD14" w14:textId="77777777" w:rsidR="00204FA4" w:rsidRPr="00D62880" w:rsidRDefault="00204FA4" w:rsidP="00030BF9">
            <w:r>
              <w:t>7 years after completion of grant period</w:t>
            </w:r>
          </w:p>
        </w:tc>
      </w:tr>
      <w:tr w:rsidR="00204FA4" w:rsidRPr="00D62880" w14:paraId="6AC30800" w14:textId="77777777" w:rsidTr="00204FA4">
        <w:tc>
          <w:tcPr>
            <w:tcW w:w="4508" w:type="dxa"/>
          </w:tcPr>
          <w:p w14:paraId="1DE9C650" w14:textId="77777777" w:rsidR="00204FA4" w:rsidRPr="00D62880" w:rsidRDefault="00204FA4" w:rsidP="00030BF9">
            <w:r>
              <w:t>All evidence of returned grant funds</w:t>
            </w:r>
          </w:p>
        </w:tc>
        <w:tc>
          <w:tcPr>
            <w:tcW w:w="4508" w:type="dxa"/>
          </w:tcPr>
          <w:p w14:paraId="2C699D44" w14:textId="77777777" w:rsidR="00204FA4" w:rsidRPr="00D62880" w:rsidRDefault="00204FA4" w:rsidP="00030BF9">
            <w:r>
              <w:t>7 years after completion of grant period</w:t>
            </w:r>
          </w:p>
        </w:tc>
      </w:tr>
      <w:tr w:rsidR="00204FA4" w:rsidRPr="00D62880" w14:paraId="797F28E7" w14:textId="77777777" w:rsidTr="00204FA4">
        <w:tc>
          <w:tcPr>
            <w:tcW w:w="4508" w:type="dxa"/>
          </w:tcPr>
          <w:p w14:paraId="0892A15B" w14:textId="77777777" w:rsidR="00204FA4" w:rsidRPr="00D62880" w:rsidRDefault="00204FA4" w:rsidP="00030BF9">
            <w:r>
              <w:t>All pertinent formal correspondence including opinion letters of counsel</w:t>
            </w:r>
          </w:p>
        </w:tc>
        <w:tc>
          <w:tcPr>
            <w:tcW w:w="4508" w:type="dxa"/>
          </w:tcPr>
          <w:p w14:paraId="7C44E12B" w14:textId="77777777" w:rsidR="00204FA4" w:rsidRPr="00D62880" w:rsidRDefault="00204FA4" w:rsidP="00030BF9">
            <w:r>
              <w:t>7 years after completion of grant period</w:t>
            </w:r>
          </w:p>
        </w:tc>
      </w:tr>
      <w:tr w:rsidR="00204FA4" w:rsidRPr="00D62880" w14:paraId="099D1D94" w14:textId="77777777" w:rsidTr="00204FA4">
        <w:tc>
          <w:tcPr>
            <w:tcW w:w="4508" w:type="dxa"/>
          </w:tcPr>
          <w:p w14:paraId="1E51108B" w14:textId="77777777" w:rsidR="00204FA4" w:rsidRPr="00D62880" w:rsidRDefault="00204FA4" w:rsidP="00030BF9">
            <w:r>
              <w:t>Report assessment forms</w:t>
            </w:r>
          </w:p>
        </w:tc>
        <w:tc>
          <w:tcPr>
            <w:tcW w:w="4508" w:type="dxa"/>
          </w:tcPr>
          <w:p w14:paraId="26F46A42" w14:textId="77777777" w:rsidR="00204FA4" w:rsidRPr="00D62880" w:rsidRDefault="00204FA4" w:rsidP="00030BF9">
            <w:r>
              <w:t>7 years after completion of grant period</w:t>
            </w:r>
          </w:p>
        </w:tc>
      </w:tr>
      <w:tr w:rsidR="00204FA4" w:rsidRPr="00D62880" w14:paraId="5B920D11" w14:textId="77777777" w:rsidTr="00204FA4">
        <w:tc>
          <w:tcPr>
            <w:tcW w:w="4508" w:type="dxa"/>
          </w:tcPr>
          <w:p w14:paraId="63E207B2" w14:textId="77777777" w:rsidR="00204FA4" w:rsidRDefault="00204FA4" w:rsidP="00030BF9">
            <w:r>
              <w:t>Documentation relating to grantee evidence of invoices and matching or challenge grants that would support grantee compliance with the grant agreement</w:t>
            </w:r>
          </w:p>
        </w:tc>
        <w:tc>
          <w:tcPr>
            <w:tcW w:w="4508" w:type="dxa"/>
          </w:tcPr>
          <w:p w14:paraId="714E153F" w14:textId="77777777" w:rsidR="00204FA4" w:rsidRPr="00D62880" w:rsidRDefault="00204FA4" w:rsidP="00030BF9">
            <w:r>
              <w:t>7 years after completion of grant period</w:t>
            </w:r>
          </w:p>
        </w:tc>
      </w:tr>
      <w:tr w:rsidR="00204FA4" w:rsidRPr="00D62880" w14:paraId="3F26253A" w14:textId="77777777" w:rsidTr="00204FA4">
        <w:tc>
          <w:tcPr>
            <w:tcW w:w="4508" w:type="dxa"/>
          </w:tcPr>
          <w:p w14:paraId="7EF03FEE" w14:textId="77777777" w:rsidR="00204FA4" w:rsidRDefault="00204FA4" w:rsidP="00030BF9">
            <w:r>
              <w:t>Grantee work product produced with the grant funds</w:t>
            </w:r>
          </w:p>
        </w:tc>
        <w:tc>
          <w:tcPr>
            <w:tcW w:w="4508" w:type="dxa"/>
          </w:tcPr>
          <w:p w14:paraId="61D18D49" w14:textId="77777777" w:rsidR="00204FA4" w:rsidRPr="00D62880" w:rsidRDefault="00204FA4" w:rsidP="00030BF9">
            <w:r>
              <w:t>7 years after completion of grant period</w:t>
            </w:r>
          </w:p>
        </w:tc>
      </w:tr>
    </w:tbl>
    <w:p w14:paraId="6E8AA238" w14:textId="56259BF1" w:rsidR="00F547EF" w:rsidRPr="0032371A" w:rsidRDefault="00F547EF" w:rsidP="00241F86">
      <w:pPr>
        <w:rPr>
          <w:b/>
        </w:rPr>
      </w:pPr>
    </w:p>
    <w:p w14:paraId="7BDC4DCE" w14:textId="29BD23D5" w:rsidR="0032371A" w:rsidRPr="0032371A" w:rsidRDefault="0032371A" w:rsidP="00241F86">
      <w:pPr>
        <w:rPr>
          <w:b/>
        </w:rPr>
      </w:pPr>
      <w:r w:rsidRPr="0032371A">
        <w:rPr>
          <w:b/>
        </w:rPr>
        <w:t>F – Insurance Records</w:t>
      </w:r>
    </w:p>
    <w:tbl>
      <w:tblPr>
        <w:tblStyle w:val="TableGrid"/>
        <w:tblW w:w="0" w:type="auto"/>
        <w:tblLook w:val="04A0" w:firstRow="1" w:lastRow="0" w:firstColumn="1" w:lastColumn="0" w:noHBand="0" w:noVBand="1"/>
      </w:tblPr>
      <w:tblGrid>
        <w:gridCol w:w="4508"/>
        <w:gridCol w:w="4508"/>
      </w:tblGrid>
      <w:tr w:rsidR="0032371A" w14:paraId="1BA32575" w14:textId="77777777" w:rsidTr="00030BF9">
        <w:tc>
          <w:tcPr>
            <w:tcW w:w="4508" w:type="dxa"/>
          </w:tcPr>
          <w:p w14:paraId="2A8EDC7B" w14:textId="77777777" w:rsidR="0032371A" w:rsidRPr="009E1E82" w:rsidRDefault="0032371A" w:rsidP="00030BF9">
            <w:pPr>
              <w:rPr>
                <w:b/>
              </w:rPr>
            </w:pPr>
            <w:r w:rsidRPr="009E1E82">
              <w:rPr>
                <w:b/>
              </w:rPr>
              <w:t xml:space="preserve">Record Type </w:t>
            </w:r>
          </w:p>
        </w:tc>
        <w:tc>
          <w:tcPr>
            <w:tcW w:w="4508" w:type="dxa"/>
          </w:tcPr>
          <w:p w14:paraId="45AD1248" w14:textId="77777777" w:rsidR="0032371A" w:rsidRPr="009E1E82" w:rsidRDefault="0032371A" w:rsidP="00030BF9">
            <w:pPr>
              <w:rPr>
                <w:b/>
              </w:rPr>
            </w:pPr>
            <w:r w:rsidRPr="009E1E82">
              <w:rPr>
                <w:b/>
              </w:rPr>
              <w:t xml:space="preserve">Retention Period </w:t>
            </w:r>
          </w:p>
        </w:tc>
      </w:tr>
      <w:tr w:rsidR="0032371A" w14:paraId="417DA277" w14:textId="77777777" w:rsidTr="00030BF9">
        <w:tc>
          <w:tcPr>
            <w:tcW w:w="4508" w:type="dxa"/>
          </w:tcPr>
          <w:p w14:paraId="5CE0B00D" w14:textId="57C723A5" w:rsidR="0032371A" w:rsidRDefault="0032371A" w:rsidP="00030BF9">
            <w:r>
              <w:t xml:space="preserve">Public Liability Insurance (expired) </w:t>
            </w:r>
          </w:p>
        </w:tc>
        <w:tc>
          <w:tcPr>
            <w:tcW w:w="4508" w:type="dxa"/>
          </w:tcPr>
          <w:p w14:paraId="32CEC58E" w14:textId="7FCE11A2" w:rsidR="0032371A" w:rsidRDefault="0032371A" w:rsidP="00030BF9">
            <w:r>
              <w:t>Destroyed after new policy is issued</w:t>
            </w:r>
          </w:p>
        </w:tc>
      </w:tr>
    </w:tbl>
    <w:p w14:paraId="58145FF8" w14:textId="1CA6005C" w:rsidR="0032371A" w:rsidRDefault="0032371A" w:rsidP="00241F86"/>
    <w:p w14:paraId="57C4D91B" w14:textId="77777777" w:rsidR="0032371A" w:rsidRPr="0032371A" w:rsidRDefault="0032371A" w:rsidP="0032371A">
      <w:pPr>
        <w:rPr>
          <w:b/>
        </w:rPr>
      </w:pPr>
      <w:r w:rsidRPr="0032371A">
        <w:rPr>
          <w:b/>
        </w:rPr>
        <w:t xml:space="preserve">G – Miscellaneous </w:t>
      </w:r>
      <w:r>
        <w:rPr>
          <w:b/>
        </w:rPr>
        <w:br/>
      </w:r>
    </w:p>
    <w:tbl>
      <w:tblPr>
        <w:tblW w:w="10008" w:type="dxa"/>
        <w:tblLook w:val="0000" w:firstRow="0" w:lastRow="0" w:firstColumn="0" w:lastColumn="0" w:noHBand="0" w:noVBand="0"/>
      </w:tblPr>
      <w:tblGrid>
        <w:gridCol w:w="4531"/>
        <w:gridCol w:w="5477"/>
      </w:tblGrid>
      <w:tr w:rsidR="0032371A" w:rsidRPr="009E1E82" w14:paraId="427AC318" w14:textId="77777777" w:rsidTr="0032371A">
        <w:trPr>
          <w:trHeight w:val="432"/>
        </w:trPr>
        <w:tc>
          <w:tcPr>
            <w:tcW w:w="4531" w:type="dxa"/>
            <w:tcBorders>
              <w:top w:val="single" w:sz="4" w:space="0" w:color="auto"/>
              <w:left w:val="single" w:sz="4" w:space="0" w:color="auto"/>
              <w:bottom w:val="single" w:sz="4" w:space="0" w:color="auto"/>
              <w:right w:val="single" w:sz="4" w:space="0" w:color="auto"/>
            </w:tcBorders>
            <w:vAlign w:val="center"/>
          </w:tcPr>
          <w:p w14:paraId="35C9C86F" w14:textId="77777777" w:rsidR="0032371A" w:rsidRPr="0032371A" w:rsidRDefault="0032371A" w:rsidP="0032371A">
            <w:pPr>
              <w:rPr>
                <w:b/>
              </w:rPr>
            </w:pPr>
            <w:r w:rsidRPr="0032371A">
              <w:rPr>
                <w:b/>
              </w:rPr>
              <w:t xml:space="preserve">Record Type </w:t>
            </w:r>
          </w:p>
        </w:tc>
        <w:tc>
          <w:tcPr>
            <w:tcW w:w="5477" w:type="dxa"/>
            <w:tcBorders>
              <w:top w:val="single" w:sz="4" w:space="0" w:color="auto"/>
              <w:left w:val="single" w:sz="4" w:space="0" w:color="auto"/>
              <w:bottom w:val="single" w:sz="4" w:space="0" w:color="auto"/>
              <w:right w:val="single" w:sz="4" w:space="0" w:color="auto"/>
            </w:tcBorders>
            <w:vAlign w:val="center"/>
          </w:tcPr>
          <w:p w14:paraId="191B2C2F" w14:textId="77777777" w:rsidR="0032371A" w:rsidRPr="0032371A" w:rsidRDefault="0032371A" w:rsidP="0032371A">
            <w:pPr>
              <w:rPr>
                <w:b/>
              </w:rPr>
            </w:pPr>
            <w:r w:rsidRPr="0032371A">
              <w:rPr>
                <w:b/>
              </w:rPr>
              <w:t xml:space="preserve">Retention Period </w:t>
            </w:r>
          </w:p>
        </w:tc>
      </w:tr>
      <w:tr w:rsidR="0032371A" w:rsidRPr="00D62880" w14:paraId="42C58E6E" w14:textId="77777777" w:rsidTr="003237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4531" w:type="dxa"/>
            <w:vAlign w:val="center"/>
          </w:tcPr>
          <w:p w14:paraId="5C9920BF" w14:textId="77777777" w:rsidR="0032371A" w:rsidRPr="00D62880" w:rsidRDefault="0032371A" w:rsidP="00030BF9">
            <w:r w:rsidRPr="00D62880">
              <w:t>Policy and Procedures Manuals –</w:t>
            </w:r>
            <w:bookmarkStart w:id="1" w:name="_GoBack"/>
            <w:r w:rsidRPr="00D62880">
              <w:t xml:space="preserve"> Original</w:t>
            </w:r>
            <w:bookmarkEnd w:id="1"/>
          </w:p>
        </w:tc>
        <w:tc>
          <w:tcPr>
            <w:tcW w:w="5477" w:type="dxa"/>
            <w:vAlign w:val="center"/>
          </w:tcPr>
          <w:p w14:paraId="798A1E9E" w14:textId="77777777" w:rsidR="0032371A" w:rsidRPr="00D62880" w:rsidRDefault="0032371A" w:rsidP="00030BF9">
            <w:r w:rsidRPr="00D62880">
              <w:t xml:space="preserve">Current version with revision history </w:t>
            </w:r>
          </w:p>
        </w:tc>
      </w:tr>
      <w:tr w:rsidR="0032371A" w:rsidRPr="00D62880" w14:paraId="5842A366" w14:textId="77777777" w:rsidTr="003237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4531" w:type="dxa"/>
            <w:vAlign w:val="center"/>
          </w:tcPr>
          <w:p w14:paraId="2FF5F5B1" w14:textId="77777777" w:rsidR="0032371A" w:rsidRPr="00D62880" w:rsidRDefault="0032371A" w:rsidP="00030BF9">
            <w:r w:rsidRPr="00D62880">
              <w:t xml:space="preserve">Policy and Procedures Manuals </w:t>
            </w:r>
            <w:r w:rsidRPr="00D62880">
              <w:noBreakHyphen/>
              <w:t xml:space="preserve"> Copies</w:t>
            </w:r>
          </w:p>
        </w:tc>
        <w:tc>
          <w:tcPr>
            <w:tcW w:w="5477" w:type="dxa"/>
            <w:vAlign w:val="center"/>
          </w:tcPr>
          <w:p w14:paraId="09DF5814" w14:textId="77777777" w:rsidR="0032371A" w:rsidRPr="00D62880" w:rsidRDefault="0032371A" w:rsidP="00030BF9">
            <w:r w:rsidRPr="00D62880">
              <w:t>Retain current version only</w:t>
            </w:r>
          </w:p>
        </w:tc>
      </w:tr>
    </w:tbl>
    <w:p w14:paraId="27688EBB" w14:textId="057E93CB" w:rsidR="0032371A" w:rsidRDefault="0032371A" w:rsidP="00241F86"/>
    <w:p w14:paraId="63F874D6" w14:textId="78054FC3" w:rsidR="0032371A" w:rsidRDefault="0032371A" w:rsidP="00241F86">
      <w:pPr>
        <w:rPr>
          <w:b/>
        </w:rPr>
      </w:pPr>
      <w:r w:rsidRPr="0032371A">
        <w:rPr>
          <w:b/>
        </w:rPr>
        <w:t>H – Programme</w:t>
      </w:r>
      <w:r>
        <w:rPr>
          <w:b/>
        </w:rPr>
        <w:t>,</w:t>
      </w:r>
      <w:r w:rsidRPr="0032371A">
        <w:rPr>
          <w:b/>
        </w:rPr>
        <w:t xml:space="preserve"> Services and Project Records</w:t>
      </w:r>
    </w:p>
    <w:tbl>
      <w:tblPr>
        <w:tblW w:w="10008" w:type="dxa"/>
        <w:tblLook w:val="0000" w:firstRow="0" w:lastRow="0" w:firstColumn="0" w:lastColumn="0" w:noHBand="0" w:noVBand="0"/>
      </w:tblPr>
      <w:tblGrid>
        <w:gridCol w:w="4531"/>
        <w:gridCol w:w="5477"/>
      </w:tblGrid>
      <w:tr w:rsidR="0032371A" w:rsidRPr="009E1E82" w14:paraId="485104A8" w14:textId="77777777" w:rsidTr="00030BF9">
        <w:trPr>
          <w:trHeight w:val="432"/>
        </w:trPr>
        <w:tc>
          <w:tcPr>
            <w:tcW w:w="4531" w:type="dxa"/>
            <w:tcBorders>
              <w:top w:val="single" w:sz="4" w:space="0" w:color="auto"/>
              <w:left w:val="single" w:sz="4" w:space="0" w:color="auto"/>
              <w:bottom w:val="single" w:sz="4" w:space="0" w:color="auto"/>
              <w:right w:val="single" w:sz="4" w:space="0" w:color="auto"/>
            </w:tcBorders>
            <w:vAlign w:val="center"/>
          </w:tcPr>
          <w:p w14:paraId="43571469" w14:textId="77777777" w:rsidR="0032371A" w:rsidRPr="0032371A" w:rsidRDefault="0032371A" w:rsidP="00030BF9">
            <w:pPr>
              <w:rPr>
                <w:b/>
              </w:rPr>
            </w:pPr>
            <w:r w:rsidRPr="0032371A">
              <w:rPr>
                <w:b/>
              </w:rPr>
              <w:t xml:space="preserve">Record Type </w:t>
            </w:r>
          </w:p>
        </w:tc>
        <w:tc>
          <w:tcPr>
            <w:tcW w:w="5477" w:type="dxa"/>
            <w:tcBorders>
              <w:top w:val="single" w:sz="4" w:space="0" w:color="auto"/>
              <w:left w:val="single" w:sz="4" w:space="0" w:color="auto"/>
              <w:bottom w:val="single" w:sz="4" w:space="0" w:color="auto"/>
              <w:right w:val="single" w:sz="4" w:space="0" w:color="auto"/>
            </w:tcBorders>
            <w:vAlign w:val="center"/>
          </w:tcPr>
          <w:p w14:paraId="7EB6DD34" w14:textId="77777777" w:rsidR="0032371A" w:rsidRPr="0032371A" w:rsidRDefault="0032371A" w:rsidP="00030BF9">
            <w:pPr>
              <w:rPr>
                <w:b/>
              </w:rPr>
            </w:pPr>
            <w:r w:rsidRPr="0032371A">
              <w:rPr>
                <w:b/>
              </w:rPr>
              <w:t xml:space="preserve">Retention Period </w:t>
            </w:r>
          </w:p>
        </w:tc>
      </w:tr>
      <w:tr w:rsidR="0032371A" w:rsidRPr="00D62880" w14:paraId="0E1B4031" w14:textId="77777777" w:rsidTr="00030B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4531" w:type="dxa"/>
            <w:vAlign w:val="center"/>
          </w:tcPr>
          <w:p w14:paraId="672C891B" w14:textId="29BECB6C" w:rsidR="0032371A" w:rsidRPr="00D62880" w:rsidRDefault="009454CB" w:rsidP="00030BF9">
            <w:r>
              <w:t>York Mental Health Support Group</w:t>
            </w:r>
          </w:p>
        </w:tc>
        <w:tc>
          <w:tcPr>
            <w:tcW w:w="5477" w:type="dxa"/>
            <w:vAlign w:val="center"/>
          </w:tcPr>
          <w:p w14:paraId="3294B61D" w14:textId="2FBE3AC5" w:rsidR="0032371A" w:rsidRPr="00D62880" w:rsidRDefault="009454CB" w:rsidP="00030BF9">
            <w:r>
              <w:t>7 years</w:t>
            </w:r>
            <w:r w:rsidR="00EB6CD0">
              <w:t xml:space="preserve"> owing to Lottery Funding</w:t>
            </w:r>
          </w:p>
        </w:tc>
      </w:tr>
      <w:tr w:rsidR="0032371A" w:rsidRPr="00D62880" w14:paraId="6A3D21AD" w14:textId="77777777" w:rsidTr="00030B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4531" w:type="dxa"/>
            <w:vAlign w:val="center"/>
          </w:tcPr>
          <w:p w14:paraId="467A607B" w14:textId="2562D1C3" w:rsidR="0032371A" w:rsidRPr="00D62880" w:rsidRDefault="0032371A" w:rsidP="00030BF9"/>
        </w:tc>
        <w:tc>
          <w:tcPr>
            <w:tcW w:w="5477" w:type="dxa"/>
            <w:vAlign w:val="center"/>
          </w:tcPr>
          <w:p w14:paraId="5FD42FDD" w14:textId="1F088854" w:rsidR="0032371A" w:rsidRPr="00D62880" w:rsidRDefault="0032371A" w:rsidP="00030BF9"/>
        </w:tc>
      </w:tr>
    </w:tbl>
    <w:p w14:paraId="242A4530" w14:textId="222D81F5" w:rsidR="0032371A" w:rsidRDefault="0032371A" w:rsidP="00241F86">
      <w:pPr>
        <w:rPr>
          <w:b/>
        </w:rPr>
      </w:pPr>
    </w:p>
    <w:p w14:paraId="49D72B4D" w14:textId="73BC19FE" w:rsidR="009454CB" w:rsidRPr="0032371A" w:rsidRDefault="009454CB" w:rsidP="00241F86">
      <w:pPr>
        <w:rPr>
          <w:b/>
        </w:rPr>
      </w:pPr>
      <w:r>
        <w:rPr>
          <w:b/>
        </w:rPr>
        <w:t>I – Sponsor Projects Records</w:t>
      </w:r>
    </w:p>
    <w:sectPr w:rsidR="009454CB" w:rsidRPr="003237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46231"/>
    <w:multiLevelType w:val="hybridMultilevel"/>
    <w:tmpl w:val="6C6E2168"/>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5A432DD"/>
    <w:multiLevelType w:val="hybridMultilevel"/>
    <w:tmpl w:val="1E9E1C9E"/>
    <w:lvl w:ilvl="0" w:tplc="04090015">
      <w:start w:val="1"/>
      <w:numFmt w:val="upperLetter"/>
      <w:lvlText w:val="%1."/>
      <w:lvlJc w:val="left"/>
      <w:pPr>
        <w:tabs>
          <w:tab w:val="num" w:pos="1368"/>
        </w:tabs>
        <w:ind w:left="1368" w:hanging="360"/>
      </w:pPr>
    </w:lvl>
    <w:lvl w:ilvl="1" w:tplc="04090019" w:tentative="1">
      <w:start w:val="1"/>
      <w:numFmt w:val="lowerLetter"/>
      <w:lvlText w:val="%2."/>
      <w:lvlJc w:val="left"/>
      <w:pPr>
        <w:tabs>
          <w:tab w:val="num" w:pos="2088"/>
        </w:tabs>
        <w:ind w:left="2088" w:hanging="360"/>
      </w:pPr>
    </w:lvl>
    <w:lvl w:ilvl="2" w:tplc="0409001B" w:tentative="1">
      <w:start w:val="1"/>
      <w:numFmt w:val="lowerRoman"/>
      <w:lvlText w:val="%3."/>
      <w:lvlJc w:val="right"/>
      <w:pPr>
        <w:tabs>
          <w:tab w:val="num" w:pos="2808"/>
        </w:tabs>
        <w:ind w:left="2808" w:hanging="180"/>
      </w:pPr>
    </w:lvl>
    <w:lvl w:ilvl="3" w:tplc="0409000F" w:tentative="1">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abstractNum w:abstractNumId="2" w15:restartNumberingAfterBreak="0">
    <w:nsid w:val="2D3877AD"/>
    <w:multiLevelType w:val="hybridMultilevel"/>
    <w:tmpl w:val="E89ADE58"/>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4D1A2975"/>
    <w:multiLevelType w:val="hybridMultilevel"/>
    <w:tmpl w:val="8E3C20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345823"/>
    <w:multiLevelType w:val="hybridMultilevel"/>
    <w:tmpl w:val="F2DC6A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34903C8"/>
    <w:multiLevelType w:val="hybridMultilevel"/>
    <w:tmpl w:val="6A6AEB48"/>
    <w:lvl w:ilvl="0" w:tplc="04090001">
      <w:start w:val="1"/>
      <w:numFmt w:val="bullet"/>
      <w:lvlText w:val=""/>
      <w:lvlJc w:val="left"/>
      <w:pPr>
        <w:tabs>
          <w:tab w:val="num" w:pos="1728"/>
        </w:tabs>
        <w:ind w:left="1728" w:hanging="360"/>
      </w:pPr>
      <w:rPr>
        <w:rFonts w:ascii="Symbol" w:hAnsi="Symbol" w:hint="default"/>
      </w:rPr>
    </w:lvl>
    <w:lvl w:ilvl="1" w:tplc="04090003" w:tentative="1">
      <w:start w:val="1"/>
      <w:numFmt w:val="bullet"/>
      <w:lvlText w:val="o"/>
      <w:lvlJc w:val="left"/>
      <w:pPr>
        <w:tabs>
          <w:tab w:val="num" w:pos="2448"/>
        </w:tabs>
        <w:ind w:left="2448" w:hanging="360"/>
      </w:pPr>
      <w:rPr>
        <w:rFonts w:ascii="Courier New" w:hAnsi="Courier New"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6" w15:restartNumberingAfterBreak="0">
    <w:nsid w:val="77B36314"/>
    <w:multiLevelType w:val="multilevel"/>
    <w:tmpl w:val="256C22F0"/>
    <w:lvl w:ilvl="0">
      <w:start w:val="1"/>
      <w:numFmt w:val="upperRoman"/>
      <w:lvlText w:val="%1."/>
      <w:lvlJc w:val="left"/>
      <w:pPr>
        <w:tabs>
          <w:tab w:val="num" w:pos="432"/>
        </w:tabs>
        <w:ind w:left="432" w:hanging="432"/>
      </w:pPr>
      <w:rPr>
        <w:rFonts w:hint="default"/>
      </w:rPr>
    </w:lvl>
    <w:lvl w:ilvl="1">
      <w:start w:val="1"/>
      <w:numFmt w:val="upperLetter"/>
      <w:lvlText w:val="%2."/>
      <w:lvlJc w:val="left"/>
      <w:pPr>
        <w:tabs>
          <w:tab w:val="num" w:pos="576"/>
        </w:tabs>
        <w:ind w:left="1152" w:hanging="576"/>
      </w:pPr>
      <w:rPr>
        <w:rFonts w:hint="default"/>
      </w:rPr>
    </w:lvl>
    <w:lvl w:ilvl="2">
      <w:start w:val="1"/>
      <w:numFmt w:val="decimal"/>
      <w:lvlText w:val="%3."/>
      <w:lvlJc w:val="left"/>
      <w:pPr>
        <w:tabs>
          <w:tab w:val="num" w:pos="720"/>
        </w:tabs>
        <w:ind w:left="720" w:firstLine="432"/>
      </w:pPr>
      <w:rPr>
        <w:rFonts w:hint="default"/>
      </w:rPr>
    </w:lvl>
    <w:lvl w:ilvl="3">
      <w:start w:val="1"/>
      <w:numFmt w:val="lowerLetter"/>
      <w:lvlText w:val="%4"/>
      <w:lvlJc w:val="left"/>
      <w:pPr>
        <w:tabs>
          <w:tab w:val="num" w:pos="864"/>
        </w:tabs>
        <w:ind w:left="864" w:firstLine="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7ED92327"/>
    <w:multiLevelType w:val="hybridMultilevel"/>
    <w:tmpl w:val="6C380D6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6"/>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DE7"/>
    <w:rsid w:val="00144311"/>
    <w:rsid w:val="00204FA4"/>
    <w:rsid w:val="00241F86"/>
    <w:rsid w:val="0032371A"/>
    <w:rsid w:val="004E4299"/>
    <w:rsid w:val="009454CB"/>
    <w:rsid w:val="009E1E82"/>
    <w:rsid w:val="00CD0DE7"/>
    <w:rsid w:val="00CE232B"/>
    <w:rsid w:val="00EB6CD0"/>
    <w:rsid w:val="00ED6C6C"/>
    <w:rsid w:val="00F547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DFCB6"/>
  <w15:chartTrackingRefBased/>
  <w15:docId w15:val="{46DF5B4B-C1FD-43D8-9329-632D27DCC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next w:val="Normal"/>
    <w:link w:val="Heading5Char"/>
    <w:qFormat/>
    <w:rsid w:val="009E1E82"/>
    <w:pPr>
      <w:numPr>
        <w:ilvl w:val="4"/>
        <w:numId w:val="5"/>
      </w:numPr>
      <w:overflowPunct w:val="0"/>
      <w:autoSpaceDE w:val="0"/>
      <w:autoSpaceDN w:val="0"/>
      <w:adjustRightInd w:val="0"/>
      <w:spacing w:after="0" w:line="240" w:lineRule="auto"/>
      <w:textAlignment w:val="baseline"/>
      <w:outlineLvl w:val="4"/>
    </w:pPr>
    <w:rPr>
      <w:rFonts w:ascii="Times New Roman" w:eastAsia="Times New Roman" w:hAnsi="Times New Roman" w:cs="Times New Roman"/>
      <w:sz w:val="20"/>
      <w:szCs w:val="20"/>
      <w:lang w:val="en-US"/>
    </w:rPr>
  </w:style>
  <w:style w:type="paragraph" w:styleId="Heading6">
    <w:name w:val="heading 6"/>
    <w:basedOn w:val="Normal"/>
    <w:next w:val="Normal"/>
    <w:link w:val="Heading6Char"/>
    <w:qFormat/>
    <w:rsid w:val="009E1E82"/>
    <w:pPr>
      <w:numPr>
        <w:ilvl w:val="5"/>
        <w:numId w:val="5"/>
      </w:numPr>
      <w:overflowPunct w:val="0"/>
      <w:autoSpaceDE w:val="0"/>
      <w:autoSpaceDN w:val="0"/>
      <w:adjustRightInd w:val="0"/>
      <w:spacing w:after="0" w:line="240" w:lineRule="auto"/>
      <w:textAlignment w:val="baseline"/>
      <w:outlineLvl w:val="5"/>
    </w:pPr>
    <w:rPr>
      <w:rFonts w:ascii="Times New Roman" w:eastAsia="Times New Roman" w:hAnsi="Times New Roman" w:cs="Times New Roman"/>
      <w:sz w:val="20"/>
      <w:szCs w:val="20"/>
      <w:lang w:val="en-US"/>
    </w:rPr>
  </w:style>
  <w:style w:type="paragraph" w:styleId="Heading7">
    <w:name w:val="heading 7"/>
    <w:basedOn w:val="Normal"/>
    <w:next w:val="Normal"/>
    <w:link w:val="Heading7Char"/>
    <w:qFormat/>
    <w:rsid w:val="009E1E82"/>
    <w:pPr>
      <w:numPr>
        <w:ilvl w:val="6"/>
        <w:numId w:val="5"/>
      </w:numPr>
      <w:overflowPunct w:val="0"/>
      <w:autoSpaceDE w:val="0"/>
      <w:autoSpaceDN w:val="0"/>
      <w:adjustRightInd w:val="0"/>
      <w:spacing w:after="0" w:line="240" w:lineRule="auto"/>
      <w:textAlignment w:val="baseline"/>
      <w:outlineLvl w:val="6"/>
    </w:pPr>
    <w:rPr>
      <w:rFonts w:ascii="Times New Roman" w:eastAsia="Times New Roman" w:hAnsi="Times New Roman" w:cs="Times New Roman"/>
      <w:sz w:val="20"/>
      <w:szCs w:val="20"/>
      <w:lang w:val="en-US"/>
    </w:rPr>
  </w:style>
  <w:style w:type="paragraph" w:styleId="Heading8">
    <w:name w:val="heading 8"/>
    <w:basedOn w:val="Normal"/>
    <w:next w:val="Normal"/>
    <w:link w:val="Heading8Char"/>
    <w:qFormat/>
    <w:rsid w:val="009E1E82"/>
    <w:pPr>
      <w:numPr>
        <w:ilvl w:val="7"/>
        <w:numId w:val="5"/>
      </w:numPr>
      <w:overflowPunct w:val="0"/>
      <w:autoSpaceDE w:val="0"/>
      <w:autoSpaceDN w:val="0"/>
      <w:adjustRightInd w:val="0"/>
      <w:spacing w:after="0" w:line="240" w:lineRule="auto"/>
      <w:textAlignment w:val="baseline"/>
      <w:outlineLvl w:val="7"/>
    </w:pPr>
    <w:rPr>
      <w:rFonts w:ascii="Times New Roman" w:eastAsia="Times New Roman" w:hAnsi="Times New Roman" w:cs="Times New Roman"/>
      <w:sz w:val="20"/>
      <w:szCs w:val="20"/>
      <w:lang w:val="en-US"/>
    </w:rPr>
  </w:style>
  <w:style w:type="paragraph" w:styleId="Heading9">
    <w:name w:val="heading 9"/>
    <w:basedOn w:val="Normal"/>
    <w:next w:val="Normal"/>
    <w:link w:val="Heading9Char"/>
    <w:qFormat/>
    <w:rsid w:val="009E1E82"/>
    <w:pPr>
      <w:numPr>
        <w:ilvl w:val="8"/>
        <w:numId w:val="5"/>
      </w:numPr>
      <w:overflowPunct w:val="0"/>
      <w:autoSpaceDE w:val="0"/>
      <w:autoSpaceDN w:val="0"/>
      <w:adjustRightInd w:val="0"/>
      <w:spacing w:after="0" w:line="240" w:lineRule="auto"/>
      <w:textAlignment w:val="baseline"/>
      <w:outlineLvl w:val="8"/>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0DE7"/>
    <w:pPr>
      <w:ind w:left="720"/>
      <w:contextualSpacing/>
    </w:pPr>
  </w:style>
  <w:style w:type="paragraph" w:customStyle="1" w:styleId="Default">
    <w:name w:val="Default"/>
    <w:rsid w:val="00144311"/>
    <w:pPr>
      <w:autoSpaceDE w:val="0"/>
      <w:autoSpaceDN w:val="0"/>
      <w:adjustRightInd w:val="0"/>
      <w:spacing w:after="0" w:line="240" w:lineRule="auto"/>
    </w:pPr>
    <w:rPr>
      <w:rFonts w:ascii="Trebuchet MS" w:hAnsi="Trebuchet MS" w:cs="Trebuchet MS"/>
      <w:color w:val="000000"/>
      <w:sz w:val="24"/>
      <w:szCs w:val="24"/>
    </w:rPr>
  </w:style>
  <w:style w:type="table" w:styleId="TableGrid">
    <w:name w:val="Table Grid"/>
    <w:basedOn w:val="TableNormal"/>
    <w:uiPriority w:val="39"/>
    <w:rsid w:val="00F547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9E1E82"/>
    <w:rPr>
      <w:rFonts w:ascii="Times New Roman" w:eastAsia="Times New Roman" w:hAnsi="Times New Roman" w:cs="Times New Roman"/>
      <w:sz w:val="20"/>
      <w:szCs w:val="20"/>
      <w:lang w:val="en-US"/>
    </w:rPr>
  </w:style>
  <w:style w:type="character" w:customStyle="1" w:styleId="Heading6Char">
    <w:name w:val="Heading 6 Char"/>
    <w:basedOn w:val="DefaultParagraphFont"/>
    <w:link w:val="Heading6"/>
    <w:rsid w:val="009E1E82"/>
    <w:rPr>
      <w:rFonts w:ascii="Times New Roman" w:eastAsia="Times New Roman" w:hAnsi="Times New Roman" w:cs="Times New Roman"/>
      <w:sz w:val="20"/>
      <w:szCs w:val="20"/>
      <w:lang w:val="en-US"/>
    </w:rPr>
  </w:style>
  <w:style w:type="character" w:customStyle="1" w:styleId="Heading7Char">
    <w:name w:val="Heading 7 Char"/>
    <w:basedOn w:val="DefaultParagraphFont"/>
    <w:link w:val="Heading7"/>
    <w:rsid w:val="009E1E82"/>
    <w:rPr>
      <w:rFonts w:ascii="Times New Roman" w:eastAsia="Times New Roman" w:hAnsi="Times New Roman" w:cs="Times New Roman"/>
      <w:sz w:val="20"/>
      <w:szCs w:val="20"/>
      <w:lang w:val="en-US"/>
    </w:rPr>
  </w:style>
  <w:style w:type="character" w:customStyle="1" w:styleId="Heading8Char">
    <w:name w:val="Heading 8 Char"/>
    <w:basedOn w:val="DefaultParagraphFont"/>
    <w:link w:val="Heading8"/>
    <w:rsid w:val="009E1E82"/>
    <w:rPr>
      <w:rFonts w:ascii="Times New Roman" w:eastAsia="Times New Roman" w:hAnsi="Times New Roman" w:cs="Times New Roman"/>
      <w:sz w:val="20"/>
      <w:szCs w:val="20"/>
      <w:lang w:val="en-US"/>
    </w:rPr>
  </w:style>
  <w:style w:type="character" w:customStyle="1" w:styleId="Heading9Char">
    <w:name w:val="Heading 9 Char"/>
    <w:basedOn w:val="DefaultParagraphFont"/>
    <w:link w:val="Heading9"/>
    <w:rsid w:val="009E1E82"/>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4</Pages>
  <Words>1196</Words>
  <Characters>6821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Furby</dc:creator>
  <cp:keywords/>
  <dc:description/>
  <cp:lastModifiedBy>Jake Furby</cp:lastModifiedBy>
  <cp:revision>4</cp:revision>
  <dcterms:created xsi:type="dcterms:W3CDTF">2018-03-13T00:00:00Z</dcterms:created>
  <dcterms:modified xsi:type="dcterms:W3CDTF">2018-03-13T01:16:00Z</dcterms:modified>
</cp:coreProperties>
</file>